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6BC9E" w14:textId="5B225EA8" w:rsidR="00CA4EB7" w:rsidRDefault="007E68E0" w:rsidP="00CA4EB7">
      <w:pPr>
        <w:jc w:val="center"/>
        <w:rPr>
          <w:b/>
          <w:bCs/>
          <w:u w:val="single"/>
        </w:rPr>
      </w:pPr>
      <w:r>
        <w:rPr>
          <w:b/>
          <w:bCs/>
          <w:u w:val="single"/>
        </w:rPr>
        <w:t>Monroe</w:t>
      </w:r>
      <w:r w:rsidR="00CA4EB7">
        <w:rPr>
          <w:b/>
          <w:bCs/>
          <w:u w:val="single"/>
        </w:rPr>
        <w:t xml:space="preserve"> County Community Mental Health Non-Medicaid</w:t>
      </w:r>
      <w:r w:rsidR="00BD64A7">
        <w:rPr>
          <w:b/>
          <w:bCs/>
          <w:u w:val="single"/>
        </w:rPr>
        <w:t xml:space="preserve"> Tables</w:t>
      </w:r>
    </w:p>
    <w:p w14:paraId="6443C5D2" w14:textId="6211BBB2" w:rsidR="00CA4EB7" w:rsidRDefault="00CA4EB7" w:rsidP="00CA4EB7">
      <w:pPr>
        <w:jc w:val="center"/>
        <w:rPr>
          <w:b/>
          <w:bCs/>
          <w:u w:val="single"/>
        </w:rPr>
      </w:pPr>
      <w:r>
        <w:rPr>
          <w:b/>
          <w:bCs/>
          <w:u w:val="single"/>
        </w:rPr>
        <w:t xml:space="preserve">Effective </w:t>
      </w:r>
      <w:r w:rsidR="00B66472">
        <w:rPr>
          <w:b/>
          <w:bCs/>
          <w:u w:val="single"/>
        </w:rPr>
        <w:t>January 1, 2025</w:t>
      </w:r>
      <w:r w:rsidR="00983870">
        <w:rPr>
          <w:b/>
          <w:bCs/>
          <w:u w:val="single"/>
        </w:rPr>
        <w:t xml:space="preserve"> / EXHIBIT </w:t>
      </w:r>
      <w:r w:rsidR="00F45D71">
        <w:rPr>
          <w:b/>
          <w:bCs/>
          <w:u w:val="single"/>
        </w:rPr>
        <w:t>FCM3047</w:t>
      </w:r>
      <w:r w:rsidR="00983870">
        <w:rPr>
          <w:b/>
          <w:bCs/>
          <w:u w:val="single"/>
        </w:rPr>
        <w:t>-E</w:t>
      </w:r>
      <w:r w:rsidR="004D5202">
        <w:rPr>
          <w:b/>
          <w:bCs/>
          <w:u w:val="single"/>
        </w:rPr>
        <w:t>1</w:t>
      </w:r>
    </w:p>
    <w:tbl>
      <w:tblPr>
        <w:tblStyle w:val="TableGrid"/>
        <w:tblW w:w="14220" w:type="dxa"/>
        <w:tblInd w:w="-545" w:type="dxa"/>
        <w:tblLook w:val="04A0" w:firstRow="1" w:lastRow="0" w:firstColumn="1" w:lastColumn="0" w:noHBand="0" w:noVBand="1"/>
      </w:tblPr>
      <w:tblGrid>
        <w:gridCol w:w="3135"/>
        <w:gridCol w:w="2590"/>
        <w:gridCol w:w="2590"/>
        <w:gridCol w:w="2590"/>
        <w:gridCol w:w="3315"/>
      </w:tblGrid>
      <w:tr w:rsidR="00CA4EB7" w14:paraId="189A0093" w14:textId="77777777" w:rsidTr="00AA1EB5">
        <w:trPr>
          <w:trHeight w:val="251"/>
        </w:trPr>
        <w:tc>
          <w:tcPr>
            <w:tcW w:w="3135" w:type="dxa"/>
            <w:shd w:val="clear" w:color="auto" w:fill="D9D9D9" w:themeFill="background1" w:themeFillShade="D9"/>
            <w:vAlign w:val="center"/>
          </w:tcPr>
          <w:p w14:paraId="05BCEB04" w14:textId="3229D2A2" w:rsidR="00CA4EB7" w:rsidRPr="00CA4EB7" w:rsidRDefault="00CA4EB7" w:rsidP="00CA4EB7">
            <w:pPr>
              <w:jc w:val="center"/>
              <w:rPr>
                <w:b/>
                <w:bCs/>
                <w:sz w:val="22"/>
                <w:szCs w:val="22"/>
              </w:rPr>
            </w:pPr>
            <w:r w:rsidRPr="00CA4EB7">
              <w:rPr>
                <w:b/>
                <w:bCs/>
                <w:sz w:val="22"/>
                <w:szCs w:val="22"/>
              </w:rPr>
              <w:t>Category</w:t>
            </w:r>
          </w:p>
        </w:tc>
        <w:tc>
          <w:tcPr>
            <w:tcW w:w="2590" w:type="dxa"/>
            <w:shd w:val="clear" w:color="auto" w:fill="D9D9D9" w:themeFill="background1" w:themeFillShade="D9"/>
            <w:vAlign w:val="center"/>
          </w:tcPr>
          <w:p w14:paraId="3B90B153" w14:textId="7D0C4178" w:rsidR="00CA4EB7" w:rsidRPr="00CA4EB7" w:rsidRDefault="00CA4EB7" w:rsidP="00CA4EB7">
            <w:pPr>
              <w:jc w:val="center"/>
              <w:rPr>
                <w:b/>
                <w:bCs/>
                <w:sz w:val="22"/>
                <w:szCs w:val="22"/>
              </w:rPr>
            </w:pPr>
            <w:r w:rsidRPr="00CA4EB7">
              <w:rPr>
                <w:b/>
                <w:bCs/>
                <w:sz w:val="22"/>
                <w:szCs w:val="22"/>
              </w:rPr>
              <w:t>Covered Services</w:t>
            </w:r>
          </w:p>
        </w:tc>
        <w:tc>
          <w:tcPr>
            <w:tcW w:w="2590" w:type="dxa"/>
            <w:shd w:val="clear" w:color="auto" w:fill="D9D9D9" w:themeFill="background1" w:themeFillShade="D9"/>
            <w:vAlign w:val="center"/>
          </w:tcPr>
          <w:p w14:paraId="38EF91D2" w14:textId="77F76194" w:rsidR="00CA4EB7" w:rsidRPr="00CA4EB7" w:rsidRDefault="00CA4EB7" w:rsidP="00CA4EB7">
            <w:pPr>
              <w:jc w:val="center"/>
              <w:rPr>
                <w:b/>
                <w:bCs/>
                <w:sz w:val="22"/>
                <w:szCs w:val="22"/>
              </w:rPr>
            </w:pPr>
            <w:r w:rsidRPr="00CA4EB7">
              <w:rPr>
                <w:b/>
                <w:bCs/>
                <w:sz w:val="22"/>
                <w:szCs w:val="22"/>
              </w:rPr>
              <w:t>Service Code(s) &amp; Units</w:t>
            </w:r>
          </w:p>
        </w:tc>
        <w:tc>
          <w:tcPr>
            <w:tcW w:w="2590" w:type="dxa"/>
            <w:shd w:val="clear" w:color="auto" w:fill="D9D9D9" w:themeFill="background1" w:themeFillShade="D9"/>
            <w:vAlign w:val="center"/>
          </w:tcPr>
          <w:p w14:paraId="59BA08DE" w14:textId="1FBC11FD" w:rsidR="00CA4EB7" w:rsidRPr="00CA4EB7" w:rsidRDefault="00CA4EB7" w:rsidP="00CA4EB7">
            <w:pPr>
              <w:jc w:val="center"/>
              <w:rPr>
                <w:b/>
                <w:bCs/>
                <w:sz w:val="22"/>
                <w:szCs w:val="22"/>
              </w:rPr>
            </w:pPr>
            <w:r w:rsidRPr="00CA4EB7">
              <w:rPr>
                <w:b/>
                <w:bCs/>
                <w:sz w:val="22"/>
                <w:szCs w:val="22"/>
              </w:rPr>
              <w:t>Total Units</w:t>
            </w:r>
          </w:p>
        </w:tc>
        <w:tc>
          <w:tcPr>
            <w:tcW w:w="3315" w:type="dxa"/>
            <w:shd w:val="clear" w:color="auto" w:fill="D9D9D9" w:themeFill="background1" w:themeFillShade="D9"/>
            <w:vAlign w:val="center"/>
          </w:tcPr>
          <w:p w14:paraId="50F315D9" w14:textId="26A1FDEF" w:rsidR="00CA4EB7" w:rsidRPr="00CA4EB7" w:rsidRDefault="00CA4EB7" w:rsidP="00CA4EB7">
            <w:pPr>
              <w:jc w:val="center"/>
              <w:rPr>
                <w:b/>
                <w:bCs/>
                <w:sz w:val="22"/>
                <w:szCs w:val="22"/>
              </w:rPr>
            </w:pPr>
            <w:r w:rsidRPr="00CA4EB7">
              <w:rPr>
                <w:b/>
                <w:bCs/>
                <w:sz w:val="22"/>
                <w:szCs w:val="22"/>
              </w:rPr>
              <w:t>Authorization Time Frame</w:t>
            </w:r>
          </w:p>
        </w:tc>
      </w:tr>
      <w:tr w:rsidR="00F6470D" w:rsidRPr="006C460F" w14:paraId="6E055258" w14:textId="77777777" w:rsidTr="00DB55C1">
        <w:trPr>
          <w:trHeight w:val="5093"/>
        </w:trPr>
        <w:tc>
          <w:tcPr>
            <w:tcW w:w="3135" w:type="dxa"/>
          </w:tcPr>
          <w:p w14:paraId="2607C8B8" w14:textId="3C7B6068" w:rsidR="00F6470D" w:rsidRPr="006C460F" w:rsidRDefault="00F6470D" w:rsidP="00F6470D">
            <w:pPr>
              <w:rPr>
                <w:sz w:val="20"/>
                <w:szCs w:val="20"/>
              </w:rPr>
            </w:pPr>
            <w:r w:rsidRPr="00EC7BC7">
              <w:rPr>
                <w:b/>
                <w:bCs/>
                <w:sz w:val="20"/>
                <w:szCs w:val="20"/>
              </w:rPr>
              <w:t>#</w:t>
            </w:r>
            <w:r>
              <w:rPr>
                <w:b/>
                <w:bCs/>
                <w:sz w:val="20"/>
                <w:szCs w:val="20"/>
              </w:rPr>
              <w:t>1 – CCBHC</w:t>
            </w:r>
            <w:r>
              <w:rPr>
                <w:sz w:val="20"/>
                <w:szCs w:val="20"/>
              </w:rPr>
              <w:br/>
            </w:r>
            <w:r>
              <w:rPr>
                <w:sz w:val="20"/>
                <w:szCs w:val="20"/>
              </w:rPr>
              <w:br/>
            </w:r>
          </w:p>
        </w:tc>
        <w:tc>
          <w:tcPr>
            <w:tcW w:w="2590" w:type="dxa"/>
          </w:tcPr>
          <w:p w14:paraId="4B3DB3C6" w14:textId="1ACE78C0" w:rsidR="00F6470D" w:rsidRPr="006C460F" w:rsidRDefault="00F6470D" w:rsidP="00DB55C1">
            <w:pPr>
              <w:rPr>
                <w:sz w:val="20"/>
                <w:szCs w:val="20"/>
              </w:rPr>
            </w:pPr>
            <w:r>
              <w:rPr>
                <w:sz w:val="20"/>
                <w:szCs w:val="20"/>
              </w:rPr>
              <w:t xml:space="preserve">CCBHC eligible services are those with mental illness (MI) or substance use (SUD) diagnosis codes.  The service code itself must also be eligible and can be found in the CCBHC handbook.  Individuals who have an MI, </w:t>
            </w:r>
            <w:proofErr w:type="gramStart"/>
            <w:r>
              <w:rPr>
                <w:sz w:val="20"/>
                <w:szCs w:val="20"/>
              </w:rPr>
              <w:t>SED</w:t>
            </w:r>
            <w:proofErr w:type="gramEnd"/>
            <w:r>
              <w:rPr>
                <w:sz w:val="20"/>
                <w:szCs w:val="20"/>
              </w:rPr>
              <w:t xml:space="preserve"> or SUD diagnosis cooccurring with intellectual or development disabilities are also eligible for CCBHC.  </w:t>
            </w:r>
            <w:r w:rsidR="000403D4">
              <w:rPr>
                <w:sz w:val="20"/>
                <w:szCs w:val="20"/>
              </w:rPr>
              <w:t xml:space="preserve">All services are subject to evaluation of medical necessity and need based on the individual.  </w:t>
            </w:r>
          </w:p>
          <w:p w14:paraId="1926831B" w14:textId="77777777" w:rsidR="00F6470D" w:rsidRPr="006C460F" w:rsidRDefault="00F6470D" w:rsidP="00DB55C1">
            <w:pPr>
              <w:rPr>
                <w:sz w:val="20"/>
                <w:szCs w:val="20"/>
              </w:rPr>
            </w:pPr>
          </w:p>
          <w:p w14:paraId="758063EB" w14:textId="77777777" w:rsidR="00F6470D" w:rsidRPr="006C460F" w:rsidRDefault="00F6470D" w:rsidP="00DB55C1">
            <w:pPr>
              <w:rPr>
                <w:sz w:val="20"/>
                <w:szCs w:val="20"/>
              </w:rPr>
            </w:pPr>
          </w:p>
          <w:p w14:paraId="20458A48" w14:textId="77777777" w:rsidR="00E46C5F" w:rsidRPr="00E46C5F" w:rsidRDefault="00E46C5F" w:rsidP="00E46C5F">
            <w:pPr>
              <w:rPr>
                <w:sz w:val="20"/>
                <w:szCs w:val="20"/>
              </w:rPr>
            </w:pPr>
            <w:r w:rsidRPr="00E46C5F">
              <w:rPr>
                <w:sz w:val="20"/>
                <w:szCs w:val="20"/>
              </w:rPr>
              <w:t>Staff can access the most updated versions of each document in the MCMHA general folder under CCBHC resources:</w:t>
            </w:r>
          </w:p>
          <w:p w14:paraId="26D6BD28" w14:textId="77777777" w:rsidR="00E46C5F" w:rsidRDefault="00E46C5F" w:rsidP="00E46C5F">
            <w:pPr>
              <w:rPr>
                <w:rFonts w:ascii="Aptos" w:hAnsi="Aptos"/>
              </w:rPr>
            </w:pPr>
          </w:p>
          <w:p w14:paraId="17236892" w14:textId="2862B44C" w:rsidR="00E46C5F" w:rsidRDefault="00861829" w:rsidP="00E46C5F">
            <w:pPr>
              <w:rPr>
                <w:rFonts w:ascii="Aptos" w:hAnsi="Aptos"/>
                <w14:ligatures w14:val="none"/>
              </w:rPr>
            </w:pPr>
            <w:hyperlink r:id="rId8" w:history="1">
              <w:r w:rsidR="00E46C5F">
                <w:rPr>
                  <w:noProof/>
                  <w:color w:val="0000FF"/>
                  <w:shd w:val="clear" w:color="auto" w:fill="F3F2F1"/>
                  <w14:ligatures w14:val="none"/>
                </w:rPr>
                <w:drawing>
                  <wp:inline distT="0" distB="0" distL="0" distR="0" wp14:anchorId="62621FC7" wp14:editId="77E85DC8">
                    <wp:extent cx="152400" cy="152400"/>
                    <wp:effectExtent l="0" t="0" r="0" b="0"/>
                    <wp:docPr id="1724600692" name="Picture 2" descr="​pdf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df icon"/>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E46C5F">
                <w:rPr>
                  <w:rStyle w:val="SmartLink"/>
                </w:rPr>
                <w:t xml:space="preserve"> CCBHC Access Decision Tree.pdf</w:t>
              </w:r>
            </w:hyperlink>
          </w:p>
          <w:p w14:paraId="446F75FE" w14:textId="1160DFD9" w:rsidR="00E46C5F" w:rsidRDefault="00861829" w:rsidP="00E46C5F">
            <w:pPr>
              <w:rPr>
                <w:rFonts w:ascii="Aptos" w:hAnsi="Aptos"/>
                <w14:ligatures w14:val="none"/>
              </w:rPr>
            </w:pPr>
            <w:hyperlink r:id="rId11" w:history="1">
              <w:r w:rsidR="00E46C5F">
                <w:rPr>
                  <w:noProof/>
                  <w:color w:val="0000FF"/>
                  <w:shd w:val="clear" w:color="auto" w:fill="F3F2F1"/>
                  <w14:ligatures w14:val="none"/>
                </w:rPr>
                <w:drawing>
                  <wp:inline distT="0" distB="0" distL="0" distR="0" wp14:anchorId="6969F0BE" wp14:editId="4D9612ED">
                    <wp:extent cx="152400" cy="152400"/>
                    <wp:effectExtent l="0" t="0" r="0" b="0"/>
                    <wp:docPr id="823980990" name="Picture 1" descr="​pdf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df icon"/>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E46C5F">
                <w:rPr>
                  <w:rStyle w:val="SmartLink"/>
                </w:rPr>
                <w:t xml:space="preserve"> CCBHC Eligible Diagnosis and CPT Codes.pdf</w:t>
              </w:r>
            </w:hyperlink>
          </w:p>
          <w:p w14:paraId="5B85FE24" w14:textId="090C7B21" w:rsidR="00F6470D" w:rsidRPr="006C460F" w:rsidRDefault="00F6470D" w:rsidP="00DB55C1">
            <w:pPr>
              <w:rPr>
                <w:b/>
                <w:bCs/>
                <w:sz w:val="20"/>
                <w:szCs w:val="20"/>
              </w:rPr>
            </w:pPr>
          </w:p>
        </w:tc>
        <w:tc>
          <w:tcPr>
            <w:tcW w:w="2590" w:type="dxa"/>
          </w:tcPr>
          <w:p w14:paraId="73B22CD2" w14:textId="3638C5E5" w:rsidR="00F6470D" w:rsidRPr="006C460F" w:rsidRDefault="00F6470D" w:rsidP="00F6470D">
            <w:pPr>
              <w:rPr>
                <w:sz w:val="20"/>
                <w:szCs w:val="20"/>
              </w:rPr>
            </w:pPr>
            <w:r>
              <w:rPr>
                <w:sz w:val="20"/>
                <w:szCs w:val="20"/>
              </w:rPr>
              <w:t xml:space="preserve">The core services areas and codes as presented in the most recent version of the CCBHC </w:t>
            </w:r>
            <w:r w:rsidR="00B66472">
              <w:rPr>
                <w:sz w:val="20"/>
                <w:szCs w:val="20"/>
              </w:rPr>
              <w:t>handbook.</w:t>
            </w:r>
          </w:p>
          <w:p w14:paraId="7824EC09" w14:textId="25DEE98A" w:rsidR="00F6470D" w:rsidRPr="006C460F" w:rsidRDefault="00F6470D" w:rsidP="00DB55C1">
            <w:pPr>
              <w:rPr>
                <w:b/>
                <w:bCs/>
                <w:sz w:val="20"/>
                <w:szCs w:val="20"/>
              </w:rPr>
            </w:pPr>
          </w:p>
        </w:tc>
        <w:tc>
          <w:tcPr>
            <w:tcW w:w="2590" w:type="dxa"/>
          </w:tcPr>
          <w:p w14:paraId="00F5846B" w14:textId="29D90B9D" w:rsidR="00F6470D" w:rsidRPr="006C460F" w:rsidRDefault="00F6470D" w:rsidP="00F6470D">
            <w:pPr>
              <w:rPr>
                <w:sz w:val="20"/>
                <w:szCs w:val="20"/>
              </w:rPr>
            </w:pPr>
            <w:r>
              <w:rPr>
                <w:sz w:val="20"/>
                <w:szCs w:val="20"/>
              </w:rPr>
              <w:t xml:space="preserve">See most recent version of the CCBHC handbook and State code </w:t>
            </w:r>
            <w:r w:rsidR="00B66472">
              <w:rPr>
                <w:sz w:val="20"/>
                <w:szCs w:val="20"/>
              </w:rPr>
              <w:t>chart.</w:t>
            </w:r>
          </w:p>
          <w:p w14:paraId="3C402F38" w14:textId="77777777" w:rsidR="00F6470D" w:rsidRPr="006C460F" w:rsidRDefault="00F6470D" w:rsidP="00DB55C1">
            <w:pPr>
              <w:rPr>
                <w:sz w:val="20"/>
                <w:szCs w:val="20"/>
              </w:rPr>
            </w:pPr>
          </w:p>
          <w:p w14:paraId="056046EC" w14:textId="77777777" w:rsidR="00F6470D" w:rsidRPr="006C460F" w:rsidRDefault="00F6470D" w:rsidP="00DB55C1">
            <w:pPr>
              <w:rPr>
                <w:sz w:val="20"/>
                <w:szCs w:val="20"/>
              </w:rPr>
            </w:pPr>
          </w:p>
          <w:p w14:paraId="598D7B76" w14:textId="77777777" w:rsidR="00F6470D" w:rsidRPr="006C460F" w:rsidRDefault="00F6470D" w:rsidP="00DB55C1">
            <w:pPr>
              <w:rPr>
                <w:sz w:val="20"/>
                <w:szCs w:val="20"/>
              </w:rPr>
            </w:pPr>
          </w:p>
          <w:p w14:paraId="23C652C2" w14:textId="77777777" w:rsidR="00F6470D" w:rsidRPr="006C460F" w:rsidRDefault="00F6470D" w:rsidP="00DB55C1">
            <w:pPr>
              <w:rPr>
                <w:sz w:val="20"/>
                <w:szCs w:val="20"/>
              </w:rPr>
            </w:pPr>
          </w:p>
          <w:p w14:paraId="4A6E53DC" w14:textId="39706669" w:rsidR="00F6470D" w:rsidRPr="006C460F" w:rsidRDefault="00F6470D" w:rsidP="00DB55C1">
            <w:pPr>
              <w:rPr>
                <w:b/>
                <w:bCs/>
                <w:sz w:val="20"/>
                <w:szCs w:val="20"/>
              </w:rPr>
            </w:pPr>
          </w:p>
        </w:tc>
        <w:tc>
          <w:tcPr>
            <w:tcW w:w="3315" w:type="dxa"/>
          </w:tcPr>
          <w:p w14:paraId="0593FCBC" w14:textId="48DEC91A" w:rsidR="00F6470D" w:rsidRPr="006C460F" w:rsidRDefault="00F6470D" w:rsidP="00DB55C1">
            <w:pPr>
              <w:rPr>
                <w:b/>
                <w:bCs/>
                <w:sz w:val="20"/>
                <w:szCs w:val="20"/>
              </w:rPr>
            </w:pPr>
            <w:r>
              <w:rPr>
                <w:b/>
                <w:bCs/>
                <w:sz w:val="20"/>
                <w:szCs w:val="20"/>
              </w:rPr>
              <w:t xml:space="preserve">As needed/determined during the </w:t>
            </w:r>
            <w:r w:rsidR="00B66472">
              <w:rPr>
                <w:b/>
                <w:bCs/>
                <w:sz w:val="20"/>
                <w:szCs w:val="20"/>
              </w:rPr>
              <w:t>person-centered</w:t>
            </w:r>
            <w:r>
              <w:rPr>
                <w:b/>
                <w:bCs/>
                <w:sz w:val="20"/>
                <w:szCs w:val="20"/>
              </w:rPr>
              <w:t xml:space="preserve"> planning process.</w:t>
            </w:r>
          </w:p>
          <w:p w14:paraId="19537BA9" w14:textId="77777777" w:rsidR="00F6470D" w:rsidRPr="006C460F" w:rsidRDefault="00F6470D" w:rsidP="00DB55C1">
            <w:pPr>
              <w:rPr>
                <w:b/>
                <w:bCs/>
                <w:sz w:val="20"/>
                <w:szCs w:val="20"/>
              </w:rPr>
            </w:pPr>
          </w:p>
          <w:p w14:paraId="32BBC130" w14:textId="77777777" w:rsidR="00F6470D" w:rsidRPr="006C460F" w:rsidRDefault="00F6470D" w:rsidP="00DB55C1">
            <w:pPr>
              <w:rPr>
                <w:b/>
                <w:bCs/>
                <w:sz w:val="20"/>
                <w:szCs w:val="20"/>
              </w:rPr>
            </w:pPr>
            <w:r w:rsidRPr="006C460F">
              <w:rPr>
                <w:b/>
                <w:bCs/>
                <w:sz w:val="20"/>
                <w:szCs w:val="20"/>
              </w:rPr>
              <w:t>IMPORTANT!</w:t>
            </w:r>
          </w:p>
          <w:p w14:paraId="58657174" w14:textId="77777777" w:rsidR="00F6470D" w:rsidRPr="006C460F" w:rsidRDefault="00F6470D" w:rsidP="00DB55C1">
            <w:pPr>
              <w:rPr>
                <w:sz w:val="20"/>
                <w:szCs w:val="20"/>
              </w:rPr>
            </w:pPr>
          </w:p>
          <w:p w14:paraId="46BE4F93" w14:textId="77777777" w:rsidR="00F6470D" w:rsidRPr="006C460F" w:rsidRDefault="00F6470D" w:rsidP="00DB55C1">
            <w:pPr>
              <w:rPr>
                <w:sz w:val="20"/>
                <w:szCs w:val="20"/>
              </w:rPr>
            </w:pPr>
            <w:r w:rsidRPr="006C460F">
              <w:rPr>
                <w:sz w:val="20"/>
                <w:szCs w:val="20"/>
              </w:rPr>
              <w:t xml:space="preserve">Remember they do not need to be a resident of Monroe County to qualify for CCBHC services. For non-CCBHC services, you must be a Monroe County resident. </w:t>
            </w:r>
          </w:p>
          <w:p w14:paraId="0DFF8B7A" w14:textId="77777777" w:rsidR="00F6470D" w:rsidRPr="006C460F" w:rsidRDefault="00F6470D" w:rsidP="00DB55C1">
            <w:pPr>
              <w:rPr>
                <w:sz w:val="20"/>
                <w:szCs w:val="20"/>
              </w:rPr>
            </w:pPr>
          </w:p>
          <w:p w14:paraId="1F968F54" w14:textId="77777777" w:rsidR="00F6470D" w:rsidRPr="006C460F" w:rsidRDefault="00F6470D" w:rsidP="00DB55C1">
            <w:pPr>
              <w:rPr>
                <w:sz w:val="20"/>
                <w:szCs w:val="20"/>
              </w:rPr>
            </w:pPr>
          </w:p>
        </w:tc>
      </w:tr>
      <w:tr w:rsidR="00CA4EB7" w:rsidRPr="006C460F" w14:paraId="3B03E6DA" w14:textId="77777777" w:rsidTr="00EC7BC7">
        <w:trPr>
          <w:trHeight w:val="5093"/>
        </w:trPr>
        <w:tc>
          <w:tcPr>
            <w:tcW w:w="3135" w:type="dxa"/>
          </w:tcPr>
          <w:p w14:paraId="565912B9" w14:textId="05212FA3" w:rsidR="00CA4EB7" w:rsidRPr="006C460F" w:rsidRDefault="00CA4EB7" w:rsidP="006C460F">
            <w:pPr>
              <w:rPr>
                <w:sz w:val="20"/>
                <w:szCs w:val="20"/>
              </w:rPr>
            </w:pPr>
            <w:r w:rsidRPr="00EC7BC7">
              <w:rPr>
                <w:b/>
                <w:bCs/>
                <w:sz w:val="20"/>
                <w:szCs w:val="20"/>
              </w:rPr>
              <w:lastRenderedPageBreak/>
              <w:t>#</w:t>
            </w:r>
            <w:r w:rsidR="00F6470D">
              <w:rPr>
                <w:b/>
                <w:bCs/>
                <w:sz w:val="20"/>
                <w:szCs w:val="20"/>
              </w:rPr>
              <w:t>2</w:t>
            </w:r>
            <w:r w:rsidR="007632F4">
              <w:rPr>
                <w:b/>
                <w:bCs/>
                <w:sz w:val="20"/>
                <w:szCs w:val="20"/>
              </w:rPr>
              <w:t xml:space="preserve"> – New People</w:t>
            </w:r>
            <w:r w:rsidR="00EC7BC7">
              <w:rPr>
                <w:sz w:val="20"/>
                <w:szCs w:val="20"/>
              </w:rPr>
              <w:br/>
            </w:r>
            <w:r w:rsidR="007632F4">
              <w:rPr>
                <w:sz w:val="20"/>
                <w:szCs w:val="20"/>
              </w:rPr>
              <w:br/>
            </w:r>
            <w:r w:rsidR="0022648A">
              <w:rPr>
                <w:sz w:val="20"/>
                <w:szCs w:val="20"/>
              </w:rPr>
              <w:t>Anyone n</w:t>
            </w:r>
            <w:r w:rsidR="0022648A" w:rsidRPr="006C460F">
              <w:rPr>
                <w:sz w:val="20"/>
                <w:szCs w:val="20"/>
              </w:rPr>
              <w:t>ew to MCMHA</w:t>
            </w:r>
            <w:r w:rsidR="0022648A">
              <w:rPr>
                <w:sz w:val="20"/>
                <w:szCs w:val="20"/>
              </w:rPr>
              <w:t xml:space="preserve">, that </w:t>
            </w:r>
            <w:r w:rsidR="0022648A" w:rsidRPr="006C460F">
              <w:rPr>
                <w:sz w:val="20"/>
                <w:szCs w:val="20"/>
              </w:rPr>
              <w:t>do not qualify or receive CCHBC eligible services</w:t>
            </w:r>
            <w:r w:rsidR="0022648A">
              <w:rPr>
                <w:sz w:val="20"/>
                <w:szCs w:val="20"/>
              </w:rPr>
              <w:t xml:space="preserve"> (as noted </w:t>
            </w:r>
            <w:r w:rsidR="00F6470D">
              <w:rPr>
                <w:sz w:val="20"/>
                <w:szCs w:val="20"/>
              </w:rPr>
              <w:t>in box 1 above</w:t>
            </w:r>
            <w:r w:rsidR="0022648A">
              <w:rPr>
                <w:sz w:val="20"/>
                <w:szCs w:val="20"/>
              </w:rPr>
              <w:t>), and do not have Medicaid will be placed on the waitlist for services</w:t>
            </w:r>
            <w:r w:rsidR="0022648A" w:rsidRPr="006C460F">
              <w:rPr>
                <w:sz w:val="20"/>
                <w:szCs w:val="20"/>
              </w:rPr>
              <w:t xml:space="preserve">. </w:t>
            </w:r>
            <w:r w:rsidR="009517C2">
              <w:rPr>
                <w:sz w:val="20"/>
                <w:szCs w:val="20"/>
              </w:rPr>
              <w:t xml:space="preserve">Authorization will not be given for services until approved by the non-Medicaid Committee or Medicaid eligibility is established.  </w:t>
            </w:r>
            <w:r w:rsidR="0022648A">
              <w:rPr>
                <w:sz w:val="20"/>
                <w:szCs w:val="20"/>
              </w:rPr>
              <w:t>No matter the specific circumstance, the f</w:t>
            </w:r>
            <w:r w:rsidRPr="006C460F">
              <w:rPr>
                <w:sz w:val="20"/>
                <w:szCs w:val="20"/>
              </w:rPr>
              <w:t xml:space="preserve">ocus is on getting </w:t>
            </w:r>
            <w:r w:rsidR="0022648A">
              <w:rPr>
                <w:sz w:val="20"/>
                <w:szCs w:val="20"/>
              </w:rPr>
              <w:t xml:space="preserve">the </w:t>
            </w:r>
            <w:r w:rsidR="009517C2">
              <w:rPr>
                <w:sz w:val="20"/>
                <w:szCs w:val="20"/>
              </w:rPr>
              <w:t>person</w:t>
            </w:r>
            <w:r w:rsidR="0022648A" w:rsidRPr="006C460F">
              <w:rPr>
                <w:sz w:val="20"/>
                <w:szCs w:val="20"/>
              </w:rPr>
              <w:t xml:space="preserve"> </w:t>
            </w:r>
            <w:r w:rsidRPr="006C460F">
              <w:rPr>
                <w:sz w:val="20"/>
                <w:szCs w:val="20"/>
              </w:rPr>
              <w:t xml:space="preserve">active </w:t>
            </w:r>
            <w:r w:rsidR="0015367F" w:rsidRPr="006C460F">
              <w:rPr>
                <w:sz w:val="20"/>
                <w:szCs w:val="20"/>
              </w:rPr>
              <w:t>Medicaid.</w:t>
            </w:r>
            <w:r w:rsidR="0022648A">
              <w:rPr>
                <w:sz w:val="20"/>
                <w:szCs w:val="20"/>
              </w:rPr>
              <w:t xml:space="preserve">  </w:t>
            </w:r>
          </w:p>
          <w:p w14:paraId="251F1CCF" w14:textId="77777777" w:rsidR="006D3F64" w:rsidRPr="006C460F" w:rsidRDefault="006D3F64" w:rsidP="006C460F">
            <w:pPr>
              <w:rPr>
                <w:b/>
                <w:bCs/>
                <w:sz w:val="20"/>
                <w:szCs w:val="20"/>
              </w:rPr>
            </w:pPr>
          </w:p>
          <w:p w14:paraId="2DFE68ED" w14:textId="2109D577" w:rsidR="006D3F64" w:rsidRPr="006C460F" w:rsidRDefault="006D3F64" w:rsidP="006C460F">
            <w:pPr>
              <w:rPr>
                <w:sz w:val="20"/>
                <w:szCs w:val="20"/>
              </w:rPr>
            </w:pPr>
            <w:r w:rsidRPr="00EC7BC7">
              <w:rPr>
                <w:b/>
                <w:bCs/>
                <w:sz w:val="20"/>
                <w:szCs w:val="20"/>
                <w:u w:val="single"/>
              </w:rPr>
              <w:t>Note:</w:t>
            </w:r>
            <w:r w:rsidR="006C460F">
              <w:rPr>
                <w:sz w:val="20"/>
                <w:szCs w:val="20"/>
              </w:rPr>
              <w:br/>
            </w:r>
            <w:r w:rsidRPr="006C460F">
              <w:rPr>
                <w:sz w:val="20"/>
                <w:szCs w:val="20"/>
              </w:rPr>
              <w:t xml:space="preserve">Crisis Services, Crisis Residential, Crisis </w:t>
            </w:r>
            <w:r w:rsidR="00306CC3" w:rsidRPr="006C460F">
              <w:rPr>
                <w:sz w:val="20"/>
                <w:szCs w:val="20"/>
              </w:rPr>
              <w:t>Stabilization</w:t>
            </w:r>
            <w:r w:rsidRPr="006C460F">
              <w:rPr>
                <w:sz w:val="20"/>
                <w:szCs w:val="20"/>
              </w:rPr>
              <w:t xml:space="preserve">, Partial Hospitalization and Inpatient Psychiatric stays are covered for everyone regardless of insurance type if </w:t>
            </w:r>
            <w:r w:rsidR="00EA58C4" w:rsidRPr="006C460F">
              <w:rPr>
                <w:sz w:val="20"/>
                <w:szCs w:val="20"/>
              </w:rPr>
              <w:t>medically necessary</w:t>
            </w:r>
            <w:r w:rsidRPr="006C460F">
              <w:rPr>
                <w:sz w:val="20"/>
                <w:szCs w:val="20"/>
              </w:rPr>
              <w:t>.  See #4 below</w:t>
            </w:r>
          </w:p>
        </w:tc>
        <w:tc>
          <w:tcPr>
            <w:tcW w:w="2590" w:type="dxa"/>
          </w:tcPr>
          <w:p w14:paraId="45C3D704" w14:textId="77777777" w:rsidR="00CA4EB7" w:rsidRPr="006C460F" w:rsidRDefault="00CA4EB7" w:rsidP="006C460F">
            <w:pPr>
              <w:rPr>
                <w:sz w:val="20"/>
                <w:szCs w:val="20"/>
              </w:rPr>
            </w:pPr>
            <w:r w:rsidRPr="006C460F">
              <w:rPr>
                <w:sz w:val="20"/>
                <w:szCs w:val="20"/>
              </w:rPr>
              <w:t>Assessment by a non-physician</w:t>
            </w:r>
          </w:p>
          <w:p w14:paraId="366E63AF" w14:textId="77777777" w:rsidR="00704452" w:rsidRPr="006C460F" w:rsidRDefault="00704452" w:rsidP="006C460F">
            <w:pPr>
              <w:rPr>
                <w:sz w:val="20"/>
                <w:szCs w:val="20"/>
              </w:rPr>
            </w:pPr>
          </w:p>
          <w:p w14:paraId="42F02F9C" w14:textId="77777777" w:rsidR="00704452" w:rsidRPr="006C460F" w:rsidRDefault="00704452" w:rsidP="006C460F">
            <w:pPr>
              <w:rPr>
                <w:sz w:val="20"/>
                <w:szCs w:val="20"/>
              </w:rPr>
            </w:pPr>
          </w:p>
          <w:p w14:paraId="371B65C9" w14:textId="77777777" w:rsidR="006D3F64" w:rsidRPr="006C460F" w:rsidRDefault="006D3F64" w:rsidP="006C460F">
            <w:pPr>
              <w:rPr>
                <w:sz w:val="20"/>
                <w:szCs w:val="20"/>
              </w:rPr>
            </w:pPr>
          </w:p>
          <w:p w14:paraId="109D5D5C" w14:textId="77777777" w:rsidR="006D3F64" w:rsidRPr="006C460F" w:rsidRDefault="006D3F64" w:rsidP="006C460F">
            <w:pPr>
              <w:rPr>
                <w:sz w:val="20"/>
                <w:szCs w:val="20"/>
              </w:rPr>
            </w:pPr>
            <w:r w:rsidRPr="006C460F">
              <w:rPr>
                <w:sz w:val="20"/>
                <w:szCs w:val="20"/>
              </w:rPr>
              <w:t>Peer Services</w:t>
            </w:r>
          </w:p>
          <w:p w14:paraId="7F61AF3B" w14:textId="77777777" w:rsidR="00306CC3" w:rsidRPr="006C460F" w:rsidRDefault="00306CC3" w:rsidP="006C460F">
            <w:pPr>
              <w:rPr>
                <w:sz w:val="20"/>
                <w:szCs w:val="20"/>
              </w:rPr>
            </w:pPr>
          </w:p>
          <w:p w14:paraId="6211F81D" w14:textId="77777777" w:rsidR="00306CC3" w:rsidRPr="006C460F" w:rsidRDefault="00306CC3" w:rsidP="006C460F">
            <w:pPr>
              <w:rPr>
                <w:sz w:val="20"/>
                <w:szCs w:val="20"/>
              </w:rPr>
            </w:pPr>
          </w:p>
          <w:p w14:paraId="735AC8C3" w14:textId="77777777" w:rsidR="00306CC3" w:rsidRPr="006C460F" w:rsidRDefault="00306CC3" w:rsidP="006C460F">
            <w:pPr>
              <w:rPr>
                <w:sz w:val="20"/>
                <w:szCs w:val="20"/>
              </w:rPr>
            </w:pPr>
            <w:r w:rsidRPr="006C460F">
              <w:rPr>
                <w:sz w:val="20"/>
                <w:szCs w:val="20"/>
              </w:rPr>
              <w:t>Targeted Case Management</w:t>
            </w:r>
          </w:p>
          <w:p w14:paraId="0BAAED44" w14:textId="77777777" w:rsidR="00306CC3" w:rsidRPr="006C460F" w:rsidRDefault="00306CC3" w:rsidP="006C460F">
            <w:pPr>
              <w:rPr>
                <w:sz w:val="20"/>
                <w:szCs w:val="20"/>
              </w:rPr>
            </w:pPr>
          </w:p>
          <w:p w14:paraId="12DCB191" w14:textId="6488120F" w:rsidR="00306CC3" w:rsidRPr="006C460F" w:rsidRDefault="00306CC3" w:rsidP="006C460F">
            <w:pPr>
              <w:rPr>
                <w:sz w:val="20"/>
                <w:szCs w:val="20"/>
              </w:rPr>
            </w:pPr>
            <w:r w:rsidRPr="006C460F">
              <w:rPr>
                <w:sz w:val="20"/>
                <w:szCs w:val="20"/>
              </w:rPr>
              <w:t>Psychiatric Diagnostic Evaluation</w:t>
            </w:r>
          </w:p>
          <w:p w14:paraId="5FAE9AE8" w14:textId="77777777" w:rsidR="00306CC3" w:rsidRPr="006C460F" w:rsidRDefault="00306CC3" w:rsidP="006C460F">
            <w:pPr>
              <w:rPr>
                <w:sz w:val="20"/>
                <w:szCs w:val="20"/>
              </w:rPr>
            </w:pPr>
          </w:p>
          <w:p w14:paraId="7EAB581D" w14:textId="77777777" w:rsidR="00306CC3" w:rsidRPr="006C460F" w:rsidRDefault="00306CC3" w:rsidP="006C460F">
            <w:pPr>
              <w:rPr>
                <w:sz w:val="20"/>
                <w:szCs w:val="20"/>
              </w:rPr>
            </w:pPr>
          </w:p>
          <w:p w14:paraId="39CF719A" w14:textId="4879AB3E" w:rsidR="00306CC3" w:rsidRPr="006C460F" w:rsidRDefault="00306CC3" w:rsidP="006C460F">
            <w:pPr>
              <w:rPr>
                <w:sz w:val="20"/>
                <w:szCs w:val="20"/>
              </w:rPr>
            </w:pPr>
            <w:r w:rsidRPr="006C460F">
              <w:rPr>
                <w:sz w:val="20"/>
                <w:szCs w:val="20"/>
              </w:rPr>
              <w:t xml:space="preserve">Medication </w:t>
            </w:r>
          </w:p>
          <w:p w14:paraId="0465BBE7" w14:textId="6645E61A" w:rsidR="00306CC3" w:rsidRPr="006C460F" w:rsidRDefault="00306CC3" w:rsidP="006C460F">
            <w:pPr>
              <w:rPr>
                <w:sz w:val="20"/>
                <w:szCs w:val="20"/>
              </w:rPr>
            </w:pPr>
            <w:r w:rsidRPr="006C460F">
              <w:rPr>
                <w:sz w:val="20"/>
                <w:szCs w:val="20"/>
              </w:rPr>
              <w:t>Administration</w:t>
            </w:r>
          </w:p>
          <w:p w14:paraId="3D477023" w14:textId="77777777" w:rsidR="00306CC3" w:rsidRPr="006C460F" w:rsidRDefault="00306CC3" w:rsidP="006C460F">
            <w:pPr>
              <w:rPr>
                <w:sz w:val="20"/>
                <w:szCs w:val="20"/>
              </w:rPr>
            </w:pPr>
          </w:p>
          <w:p w14:paraId="140C1215" w14:textId="278A5364" w:rsidR="00306CC3" w:rsidRPr="006C460F" w:rsidRDefault="00306CC3" w:rsidP="006C460F">
            <w:pPr>
              <w:rPr>
                <w:b/>
                <w:bCs/>
                <w:sz w:val="20"/>
                <w:szCs w:val="20"/>
              </w:rPr>
            </w:pPr>
            <w:r w:rsidRPr="006C460F">
              <w:rPr>
                <w:sz w:val="20"/>
                <w:szCs w:val="20"/>
              </w:rPr>
              <w:t>Medication Review</w:t>
            </w:r>
          </w:p>
        </w:tc>
        <w:tc>
          <w:tcPr>
            <w:tcW w:w="2590" w:type="dxa"/>
          </w:tcPr>
          <w:p w14:paraId="7AD50EA5" w14:textId="77777777" w:rsidR="00CA4EB7" w:rsidRPr="006C460F" w:rsidRDefault="00CA4EB7" w:rsidP="006C460F">
            <w:pPr>
              <w:rPr>
                <w:b/>
                <w:bCs/>
                <w:sz w:val="20"/>
                <w:szCs w:val="20"/>
              </w:rPr>
            </w:pPr>
            <w:r w:rsidRPr="006C460F">
              <w:rPr>
                <w:b/>
                <w:bCs/>
                <w:sz w:val="20"/>
                <w:szCs w:val="20"/>
              </w:rPr>
              <w:t>90791</w:t>
            </w:r>
          </w:p>
          <w:p w14:paraId="3E857E42" w14:textId="77777777" w:rsidR="006D3F64" w:rsidRPr="006C460F" w:rsidRDefault="006D3F64" w:rsidP="006C460F">
            <w:pPr>
              <w:rPr>
                <w:b/>
                <w:bCs/>
                <w:sz w:val="20"/>
                <w:szCs w:val="20"/>
              </w:rPr>
            </w:pPr>
          </w:p>
          <w:p w14:paraId="7B554372" w14:textId="77777777" w:rsidR="006D3F64" w:rsidRPr="006C460F" w:rsidRDefault="006D3F64" w:rsidP="006C460F">
            <w:pPr>
              <w:rPr>
                <w:b/>
                <w:bCs/>
                <w:sz w:val="20"/>
                <w:szCs w:val="20"/>
              </w:rPr>
            </w:pPr>
          </w:p>
          <w:p w14:paraId="30372AFB" w14:textId="77777777" w:rsidR="006D3F64" w:rsidRPr="006C460F" w:rsidRDefault="006D3F64" w:rsidP="006C460F">
            <w:pPr>
              <w:rPr>
                <w:b/>
                <w:bCs/>
                <w:sz w:val="20"/>
                <w:szCs w:val="20"/>
              </w:rPr>
            </w:pPr>
          </w:p>
          <w:p w14:paraId="60C741BE" w14:textId="77777777" w:rsidR="006D3F64" w:rsidRPr="006C460F" w:rsidRDefault="006D3F64" w:rsidP="006C460F">
            <w:pPr>
              <w:rPr>
                <w:b/>
                <w:bCs/>
                <w:sz w:val="20"/>
                <w:szCs w:val="20"/>
              </w:rPr>
            </w:pPr>
          </w:p>
          <w:p w14:paraId="34B2C2D3" w14:textId="77777777" w:rsidR="006D3F64" w:rsidRPr="006C460F" w:rsidRDefault="006D3F64" w:rsidP="006C460F">
            <w:pPr>
              <w:rPr>
                <w:b/>
                <w:bCs/>
                <w:sz w:val="20"/>
                <w:szCs w:val="20"/>
              </w:rPr>
            </w:pPr>
          </w:p>
          <w:p w14:paraId="52442254" w14:textId="77777777" w:rsidR="006D3F64" w:rsidRPr="006C460F" w:rsidRDefault="006D3F64" w:rsidP="006C460F">
            <w:pPr>
              <w:rPr>
                <w:b/>
                <w:bCs/>
                <w:sz w:val="20"/>
                <w:szCs w:val="20"/>
              </w:rPr>
            </w:pPr>
            <w:r w:rsidRPr="006C460F">
              <w:rPr>
                <w:b/>
                <w:bCs/>
                <w:sz w:val="20"/>
                <w:szCs w:val="20"/>
              </w:rPr>
              <w:t>H0038</w:t>
            </w:r>
          </w:p>
          <w:p w14:paraId="00148E41" w14:textId="77777777" w:rsidR="00306CC3" w:rsidRPr="006C460F" w:rsidRDefault="00306CC3" w:rsidP="006C460F">
            <w:pPr>
              <w:rPr>
                <w:b/>
                <w:bCs/>
                <w:sz w:val="20"/>
                <w:szCs w:val="20"/>
              </w:rPr>
            </w:pPr>
          </w:p>
          <w:p w14:paraId="781056D7" w14:textId="77777777" w:rsidR="00306CC3" w:rsidRPr="006C460F" w:rsidRDefault="00306CC3" w:rsidP="006C460F">
            <w:pPr>
              <w:rPr>
                <w:b/>
                <w:bCs/>
                <w:sz w:val="20"/>
                <w:szCs w:val="20"/>
              </w:rPr>
            </w:pPr>
          </w:p>
          <w:p w14:paraId="6BBC97FE" w14:textId="77777777" w:rsidR="00306CC3" w:rsidRPr="006C460F" w:rsidRDefault="00306CC3" w:rsidP="006C460F">
            <w:pPr>
              <w:rPr>
                <w:b/>
                <w:bCs/>
                <w:sz w:val="20"/>
                <w:szCs w:val="20"/>
              </w:rPr>
            </w:pPr>
            <w:r w:rsidRPr="006C460F">
              <w:rPr>
                <w:b/>
                <w:bCs/>
                <w:sz w:val="20"/>
                <w:szCs w:val="20"/>
              </w:rPr>
              <w:t>T1017</w:t>
            </w:r>
          </w:p>
          <w:p w14:paraId="0A57B324" w14:textId="77777777" w:rsidR="00306CC3" w:rsidRPr="006C460F" w:rsidRDefault="00306CC3" w:rsidP="006C460F">
            <w:pPr>
              <w:rPr>
                <w:b/>
                <w:bCs/>
                <w:sz w:val="20"/>
                <w:szCs w:val="20"/>
              </w:rPr>
            </w:pPr>
          </w:p>
          <w:p w14:paraId="0AF40003" w14:textId="77777777" w:rsidR="00306CC3" w:rsidRPr="006C460F" w:rsidRDefault="00306CC3" w:rsidP="006C460F">
            <w:pPr>
              <w:rPr>
                <w:b/>
                <w:bCs/>
                <w:sz w:val="20"/>
                <w:szCs w:val="20"/>
              </w:rPr>
            </w:pPr>
          </w:p>
          <w:p w14:paraId="535C91A2" w14:textId="77777777" w:rsidR="00306CC3" w:rsidRPr="006C460F" w:rsidRDefault="00306CC3" w:rsidP="006C460F">
            <w:pPr>
              <w:rPr>
                <w:b/>
                <w:bCs/>
                <w:sz w:val="20"/>
                <w:szCs w:val="20"/>
              </w:rPr>
            </w:pPr>
            <w:r w:rsidRPr="006C460F">
              <w:rPr>
                <w:b/>
                <w:bCs/>
                <w:sz w:val="20"/>
                <w:szCs w:val="20"/>
              </w:rPr>
              <w:t>9079X</w:t>
            </w:r>
          </w:p>
          <w:p w14:paraId="77FBA47B" w14:textId="77777777" w:rsidR="00306CC3" w:rsidRPr="006C460F" w:rsidRDefault="00306CC3" w:rsidP="006C460F">
            <w:pPr>
              <w:rPr>
                <w:b/>
                <w:bCs/>
                <w:sz w:val="20"/>
                <w:szCs w:val="20"/>
              </w:rPr>
            </w:pPr>
          </w:p>
          <w:p w14:paraId="78C94DE1" w14:textId="77777777" w:rsidR="00306CC3" w:rsidRPr="006C460F" w:rsidRDefault="00306CC3" w:rsidP="006C460F">
            <w:pPr>
              <w:rPr>
                <w:b/>
                <w:bCs/>
                <w:sz w:val="20"/>
                <w:szCs w:val="20"/>
              </w:rPr>
            </w:pPr>
          </w:p>
          <w:p w14:paraId="1920F279" w14:textId="77777777" w:rsidR="00306CC3" w:rsidRPr="006C460F" w:rsidRDefault="00306CC3" w:rsidP="006C460F">
            <w:pPr>
              <w:rPr>
                <w:b/>
                <w:bCs/>
                <w:sz w:val="20"/>
                <w:szCs w:val="20"/>
              </w:rPr>
            </w:pPr>
            <w:r w:rsidRPr="006C460F">
              <w:rPr>
                <w:b/>
                <w:bCs/>
                <w:sz w:val="20"/>
                <w:szCs w:val="20"/>
              </w:rPr>
              <w:t>96372</w:t>
            </w:r>
          </w:p>
          <w:p w14:paraId="209BADAF" w14:textId="77777777" w:rsidR="00306CC3" w:rsidRPr="006C460F" w:rsidRDefault="00306CC3" w:rsidP="006C460F">
            <w:pPr>
              <w:rPr>
                <w:b/>
                <w:bCs/>
                <w:sz w:val="20"/>
                <w:szCs w:val="20"/>
              </w:rPr>
            </w:pPr>
          </w:p>
          <w:p w14:paraId="5EB02BB9" w14:textId="77777777" w:rsidR="00306CC3" w:rsidRPr="006C460F" w:rsidRDefault="00306CC3" w:rsidP="006C460F">
            <w:pPr>
              <w:rPr>
                <w:b/>
                <w:bCs/>
                <w:sz w:val="20"/>
                <w:szCs w:val="20"/>
              </w:rPr>
            </w:pPr>
          </w:p>
          <w:p w14:paraId="2E1E7C22" w14:textId="0F62DC75" w:rsidR="00306CC3" w:rsidRPr="006C460F" w:rsidRDefault="00306CC3" w:rsidP="006C460F">
            <w:pPr>
              <w:rPr>
                <w:b/>
                <w:bCs/>
                <w:sz w:val="20"/>
                <w:szCs w:val="20"/>
              </w:rPr>
            </w:pPr>
            <w:r w:rsidRPr="006C460F">
              <w:rPr>
                <w:b/>
                <w:bCs/>
                <w:sz w:val="20"/>
                <w:szCs w:val="20"/>
              </w:rPr>
              <w:t>929XX</w:t>
            </w:r>
          </w:p>
        </w:tc>
        <w:tc>
          <w:tcPr>
            <w:tcW w:w="2590" w:type="dxa"/>
          </w:tcPr>
          <w:p w14:paraId="2102DC3F" w14:textId="77777777" w:rsidR="00CA4EB7" w:rsidRPr="006C460F" w:rsidRDefault="00CA4EB7" w:rsidP="006C460F">
            <w:pPr>
              <w:rPr>
                <w:sz w:val="20"/>
                <w:szCs w:val="20"/>
              </w:rPr>
            </w:pPr>
            <w:r w:rsidRPr="006C460F">
              <w:rPr>
                <w:sz w:val="20"/>
                <w:szCs w:val="20"/>
              </w:rPr>
              <w:t>One Encounter</w:t>
            </w:r>
          </w:p>
          <w:p w14:paraId="6AA3A95D" w14:textId="77777777" w:rsidR="006D3F64" w:rsidRPr="006C460F" w:rsidRDefault="006D3F64" w:rsidP="006C460F">
            <w:pPr>
              <w:rPr>
                <w:sz w:val="20"/>
                <w:szCs w:val="20"/>
              </w:rPr>
            </w:pPr>
          </w:p>
          <w:p w14:paraId="16EE5447" w14:textId="77777777" w:rsidR="006D3F64" w:rsidRPr="006C460F" w:rsidRDefault="006D3F64" w:rsidP="006C460F">
            <w:pPr>
              <w:rPr>
                <w:sz w:val="20"/>
                <w:szCs w:val="20"/>
              </w:rPr>
            </w:pPr>
          </w:p>
          <w:p w14:paraId="0BA26C1A" w14:textId="77777777" w:rsidR="006D3F64" w:rsidRPr="006C460F" w:rsidRDefault="006D3F64" w:rsidP="006C460F">
            <w:pPr>
              <w:rPr>
                <w:sz w:val="20"/>
                <w:szCs w:val="20"/>
              </w:rPr>
            </w:pPr>
          </w:p>
          <w:p w14:paraId="08E19E33" w14:textId="77777777" w:rsidR="006D3F64" w:rsidRPr="006C460F" w:rsidRDefault="006D3F64" w:rsidP="006C460F">
            <w:pPr>
              <w:rPr>
                <w:sz w:val="20"/>
                <w:szCs w:val="20"/>
              </w:rPr>
            </w:pPr>
          </w:p>
          <w:p w14:paraId="6573E534" w14:textId="77777777" w:rsidR="006D3F64" w:rsidRPr="006C460F" w:rsidRDefault="006D3F64" w:rsidP="006C460F">
            <w:pPr>
              <w:rPr>
                <w:sz w:val="20"/>
                <w:szCs w:val="20"/>
              </w:rPr>
            </w:pPr>
          </w:p>
          <w:p w14:paraId="6427C578" w14:textId="77777777" w:rsidR="006D3F64" w:rsidRPr="006C460F" w:rsidRDefault="006D3F64" w:rsidP="006C460F">
            <w:pPr>
              <w:rPr>
                <w:sz w:val="20"/>
                <w:szCs w:val="20"/>
              </w:rPr>
            </w:pPr>
            <w:r w:rsidRPr="006C460F">
              <w:rPr>
                <w:sz w:val="20"/>
                <w:szCs w:val="20"/>
              </w:rPr>
              <w:t>10 units of either (not both)</w:t>
            </w:r>
          </w:p>
          <w:p w14:paraId="04E6F300" w14:textId="77777777" w:rsidR="00306CC3" w:rsidRPr="006C460F" w:rsidRDefault="00306CC3" w:rsidP="006C460F">
            <w:pPr>
              <w:rPr>
                <w:sz w:val="20"/>
                <w:szCs w:val="20"/>
              </w:rPr>
            </w:pPr>
          </w:p>
          <w:p w14:paraId="42166498" w14:textId="77777777" w:rsidR="00306CC3" w:rsidRPr="006C460F" w:rsidRDefault="00306CC3" w:rsidP="006C460F">
            <w:pPr>
              <w:rPr>
                <w:sz w:val="20"/>
                <w:szCs w:val="20"/>
              </w:rPr>
            </w:pPr>
            <w:r w:rsidRPr="006C460F">
              <w:rPr>
                <w:sz w:val="20"/>
                <w:szCs w:val="20"/>
              </w:rPr>
              <w:t>10 units of either (not both)</w:t>
            </w:r>
          </w:p>
          <w:p w14:paraId="45A2F0E7" w14:textId="77777777" w:rsidR="00306CC3" w:rsidRDefault="00306CC3" w:rsidP="006C460F">
            <w:pPr>
              <w:rPr>
                <w:sz w:val="20"/>
                <w:szCs w:val="20"/>
              </w:rPr>
            </w:pPr>
          </w:p>
          <w:p w14:paraId="1694A8A2" w14:textId="77777777" w:rsidR="006C460F" w:rsidRDefault="006C460F" w:rsidP="006C460F">
            <w:pPr>
              <w:rPr>
                <w:sz w:val="20"/>
                <w:szCs w:val="20"/>
              </w:rPr>
            </w:pPr>
          </w:p>
          <w:p w14:paraId="563258A4" w14:textId="77777777" w:rsidR="006C460F" w:rsidRPr="006C460F" w:rsidRDefault="006C460F" w:rsidP="006C460F">
            <w:pPr>
              <w:rPr>
                <w:sz w:val="20"/>
                <w:szCs w:val="20"/>
              </w:rPr>
            </w:pPr>
          </w:p>
          <w:p w14:paraId="1C4E5782" w14:textId="77777777" w:rsidR="00306CC3" w:rsidRPr="006C460F" w:rsidRDefault="00306CC3" w:rsidP="006C460F">
            <w:pPr>
              <w:rPr>
                <w:sz w:val="20"/>
                <w:szCs w:val="20"/>
              </w:rPr>
            </w:pPr>
            <w:r w:rsidRPr="006C460F">
              <w:rPr>
                <w:sz w:val="20"/>
                <w:szCs w:val="20"/>
              </w:rPr>
              <w:t>One Unit</w:t>
            </w:r>
          </w:p>
          <w:p w14:paraId="39608269" w14:textId="77777777" w:rsidR="00306CC3" w:rsidRPr="006C460F" w:rsidRDefault="00306CC3" w:rsidP="006C460F">
            <w:pPr>
              <w:rPr>
                <w:sz w:val="20"/>
                <w:szCs w:val="20"/>
              </w:rPr>
            </w:pPr>
          </w:p>
          <w:p w14:paraId="7DD763B0" w14:textId="77777777" w:rsidR="00306CC3" w:rsidRPr="006C460F" w:rsidRDefault="00306CC3" w:rsidP="006C460F">
            <w:pPr>
              <w:rPr>
                <w:sz w:val="20"/>
                <w:szCs w:val="20"/>
              </w:rPr>
            </w:pPr>
          </w:p>
          <w:p w14:paraId="4A6095F2" w14:textId="14B02226" w:rsidR="00306CC3" w:rsidRPr="006C460F" w:rsidRDefault="00306CC3" w:rsidP="006C460F">
            <w:pPr>
              <w:rPr>
                <w:sz w:val="20"/>
                <w:szCs w:val="20"/>
              </w:rPr>
            </w:pPr>
            <w:r w:rsidRPr="006C460F">
              <w:rPr>
                <w:sz w:val="20"/>
                <w:szCs w:val="20"/>
              </w:rPr>
              <w:t>Two Units</w:t>
            </w:r>
          </w:p>
          <w:p w14:paraId="2475EBAD" w14:textId="77777777" w:rsidR="00306CC3" w:rsidRPr="006C460F" w:rsidRDefault="00306CC3" w:rsidP="006C460F">
            <w:pPr>
              <w:rPr>
                <w:sz w:val="20"/>
                <w:szCs w:val="20"/>
              </w:rPr>
            </w:pPr>
          </w:p>
          <w:p w14:paraId="3B1500DF" w14:textId="77777777" w:rsidR="00306CC3" w:rsidRPr="006C460F" w:rsidRDefault="00306CC3" w:rsidP="006C460F">
            <w:pPr>
              <w:rPr>
                <w:sz w:val="20"/>
                <w:szCs w:val="20"/>
              </w:rPr>
            </w:pPr>
          </w:p>
          <w:p w14:paraId="628CE949" w14:textId="51CCC4CA" w:rsidR="00306CC3" w:rsidRPr="006C460F" w:rsidRDefault="00306CC3" w:rsidP="006C460F">
            <w:pPr>
              <w:rPr>
                <w:b/>
                <w:bCs/>
                <w:sz w:val="20"/>
                <w:szCs w:val="20"/>
              </w:rPr>
            </w:pPr>
            <w:r w:rsidRPr="006C460F">
              <w:rPr>
                <w:sz w:val="20"/>
                <w:szCs w:val="20"/>
              </w:rPr>
              <w:t>Two Units</w:t>
            </w:r>
          </w:p>
        </w:tc>
        <w:tc>
          <w:tcPr>
            <w:tcW w:w="3315" w:type="dxa"/>
          </w:tcPr>
          <w:p w14:paraId="3F8F9C41" w14:textId="77777777" w:rsidR="00CA4EB7" w:rsidRPr="006C460F" w:rsidRDefault="00CA4EB7" w:rsidP="006C460F">
            <w:pPr>
              <w:rPr>
                <w:b/>
                <w:bCs/>
                <w:sz w:val="20"/>
                <w:szCs w:val="20"/>
              </w:rPr>
            </w:pPr>
            <w:r w:rsidRPr="006C460F">
              <w:rPr>
                <w:b/>
                <w:bCs/>
                <w:sz w:val="20"/>
                <w:szCs w:val="20"/>
              </w:rPr>
              <w:t>60 days</w:t>
            </w:r>
          </w:p>
          <w:p w14:paraId="308D086D" w14:textId="77777777" w:rsidR="006D3F64" w:rsidRPr="006C460F" w:rsidRDefault="006D3F64" w:rsidP="006C460F">
            <w:pPr>
              <w:rPr>
                <w:b/>
                <w:bCs/>
                <w:sz w:val="20"/>
                <w:szCs w:val="20"/>
              </w:rPr>
            </w:pPr>
          </w:p>
          <w:p w14:paraId="221BEC25" w14:textId="77777777" w:rsidR="006D3F64" w:rsidRPr="006C460F" w:rsidRDefault="006D3F64" w:rsidP="006C460F">
            <w:pPr>
              <w:rPr>
                <w:sz w:val="20"/>
                <w:szCs w:val="20"/>
              </w:rPr>
            </w:pPr>
          </w:p>
          <w:p w14:paraId="19307E1A" w14:textId="77777777" w:rsidR="006D3F64" w:rsidRPr="006C460F" w:rsidRDefault="006D3F64" w:rsidP="006C460F">
            <w:pPr>
              <w:rPr>
                <w:sz w:val="20"/>
                <w:szCs w:val="20"/>
              </w:rPr>
            </w:pPr>
          </w:p>
          <w:p w14:paraId="52DE738E" w14:textId="64112C6E" w:rsidR="006D3F64" w:rsidRPr="006C460F" w:rsidRDefault="006D3F64" w:rsidP="006C460F">
            <w:pPr>
              <w:rPr>
                <w:sz w:val="20"/>
                <w:szCs w:val="20"/>
              </w:rPr>
            </w:pPr>
          </w:p>
        </w:tc>
      </w:tr>
    </w:tbl>
    <w:p w14:paraId="61278C25" w14:textId="6C80E01C" w:rsidR="0015367F" w:rsidRDefault="0015367F" w:rsidP="006C460F">
      <w:pPr>
        <w:rPr>
          <w:b/>
          <w:bCs/>
          <w:sz w:val="20"/>
          <w:szCs w:val="20"/>
          <w:u w:val="single"/>
        </w:rPr>
      </w:pPr>
    </w:p>
    <w:p w14:paraId="04CB4A27" w14:textId="77777777" w:rsidR="00EC7BC7" w:rsidRPr="006C460F" w:rsidRDefault="00EC7BC7" w:rsidP="006C460F">
      <w:pPr>
        <w:rPr>
          <w:b/>
          <w:bCs/>
          <w:sz w:val="20"/>
          <w:szCs w:val="20"/>
          <w:u w:val="single"/>
        </w:rPr>
      </w:pPr>
    </w:p>
    <w:tbl>
      <w:tblPr>
        <w:tblStyle w:val="TableGrid"/>
        <w:tblW w:w="0" w:type="auto"/>
        <w:tblInd w:w="-545" w:type="dxa"/>
        <w:tblLook w:val="04A0" w:firstRow="1" w:lastRow="0" w:firstColumn="1" w:lastColumn="0" w:noHBand="0" w:noVBand="1"/>
      </w:tblPr>
      <w:tblGrid>
        <w:gridCol w:w="3070"/>
        <w:gridCol w:w="2769"/>
        <w:gridCol w:w="2517"/>
        <w:gridCol w:w="2623"/>
        <w:gridCol w:w="3380"/>
      </w:tblGrid>
      <w:tr w:rsidR="002F1ECC" w:rsidRPr="002F1ECC" w14:paraId="6476C3A9" w14:textId="77777777" w:rsidTr="00282787">
        <w:trPr>
          <w:trHeight w:val="296"/>
        </w:trPr>
        <w:tc>
          <w:tcPr>
            <w:tcW w:w="3070" w:type="dxa"/>
            <w:shd w:val="clear" w:color="auto" w:fill="D9D9D9" w:themeFill="background1" w:themeFillShade="D9"/>
            <w:vAlign w:val="center"/>
          </w:tcPr>
          <w:p w14:paraId="1D19A46F" w14:textId="470AD7C9" w:rsidR="0015367F" w:rsidRPr="002F1ECC" w:rsidRDefault="00460B80" w:rsidP="00AA1EB5">
            <w:pPr>
              <w:jc w:val="center"/>
              <w:rPr>
                <w:rFonts w:cs="Arial"/>
                <w:b/>
                <w:bCs/>
                <w:sz w:val="22"/>
                <w:szCs w:val="22"/>
              </w:rPr>
            </w:pPr>
            <w:r w:rsidRPr="002F1ECC">
              <w:rPr>
                <w:rFonts w:cs="Arial"/>
                <w:b/>
                <w:bCs/>
                <w:sz w:val="22"/>
                <w:szCs w:val="22"/>
              </w:rPr>
              <w:t>Category</w:t>
            </w:r>
          </w:p>
        </w:tc>
        <w:tc>
          <w:tcPr>
            <w:tcW w:w="2769" w:type="dxa"/>
            <w:shd w:val="clear" w:color="auto" w:fill="D9D9D9" w:themeFill="background1" w:themeFillShade="D9"/>
            <w:vAlign w:val="center"/>
          </w:tcPr>
          <w:p w14:paraId="7BC5F0B1" w14:textId="7EEC816C" w:rsidR="0015367F" w:rsidRPr="002F1ECC" w:rsidRDefault="00875541" w:rsidP="00AA1EB5">
            <w:pPr>
              <w:jc w:val="center"/>
              <w:rPr>
                <w:rFonts w:cs="Arial"/>
                <w:b/>
                <w:bCs/>
                <w:sz w:val="22"/>
                <w:szCs w:val="22"/>
              </w:rPr>
            </w:pPr>
            <w:r w:rsidRPr="002F1ECC">
              <w:rPr>
                <w:rFonts w:cs="Arial"/>
                <w:b/>
                <w:bCs/>
                <w:sz w:val="22"/>
                <w:szCs w:val="22"/>
              </w:rPr>
              <w:t>Covered</w:t>
            </w:r>
            <w:r w:rsidR="00460B80" w:rsidRPr="002F1ECC">
              <w:rPr>
                <w:rFonts w:cs="Arial"/>
                <w:b/>
                <w:bCs/>
                <w:sz w:val="22"/>
                <w:szCs w:val="22"/>
              </w:rPr>
              <w:t xml:space="preserve"> Services</w:t>
            </w:r>
          </w:p>
        </w:tc>
        <w:tc>
          <w:tcPr>
            <w:tcW w:w="2517" w:type="dxa"/>
            <w:shd w:val="clear" w:color="auto" w:fill="D9D9D9" w:themeFill="background1" w:themeFillShade="D9"/>
            <w:vAlign w:val="center"/>
          </w:tcPr>
          <w:p w14:paraId="73AFA33E" w14:textId="24989A65" w:rsidR="0015367F" w:rsidRPr="002F1ECC" w:rsidRDefault="00460B80" w:rsidP="00AA1EB5">
            <w:pPr>
              <w:jc w:val="center"/>
              <w:rPr>
                <w:rFonts w:cs="Arial"/>
                <w:b/>
                <w:bCs/>
                <w:sz w:val="21"/>
                <w:szCs w:val="21"/>
              </w:rPr>
            </w:pPr>
            <w:r w:rsidRPr="002F1ECC">
              <w:rPr>
                <w:rFonts w:cs="Arial"/>
                <w:b/>
                <w:bCs/>
                <w:sz w:val="21"/>
                <w:szCs w:val="21"/>
              </w:rPr>
              <w:t>Service Code(s) &amp; Units</w:t>
            </w:r>
          </w:p>
        </w:tc>
        <w:tc>
          <w:tcPr>
            <w:tcW w:w="2623" w:type="dxa"/>
            <w:shd w:val="clear" w:color="auto" w:fill="D9D9D9" w:themeFill="background1" w:themeFillShade="D9"/>
            <w:vAlign w:val="center"/>
          </w:tcPr>
          <w:p w14:paraId="341685EC" w14:textId="1AC89412" w:rsidR="0015367F" w:rsidRPr="002F1ECC" w:rsidRDefault="00460B80" w:rsidP="00AA1EB5">
            <w:pPr>
              <w:jc w:val="center"/>
              <w:rPr>
                <w:rFonts w:cs="Arial"/>
                <w:b/>
                <w:bCs/>
                <w:sz w:val="22"/>
                <w:szCs w:val="22"/>
              </w:rPr>
            </w:pPr>
            <w:r w:rsidRPr="002F1ECC">
              <w:rPr>
                <w:rFonts w:cs="Arial"/>
                <w:b/>
                <w:bCs/>
                <w:sz w:val="22"/>
                <w:szCs w:val="22"/>
              </w:rPr>
              <w:t>Total Units</w:t>
            </w:r>
          </w:p>
        </w:tc>
        <w:tc>
          <w:tcPr>
            <w:tcW w:w="3380" w:type="dxa"/>
            <w:shd w:val="clear" w:color="auto" w:fill="D9D9D9" w:themeFill="background1" w:themeFillShade="D9"/>
            <w:vAlign w:val="center"/>
          </w:tcPr>
          <w:p w14:paraId="5F1C8713" w14:textId="535BAF42" w:rsidR="0015367F" w:rsidRPr="002F1ECC" w:rsidRDefault="00460B80" w:rsidP="00AA1EB5">
            <w:pPr>
              <w:jc w:val="center"/>
              <w:rPr>
                <w:rFonts w:cs="Arial"/>
                <w:b/>
                <w:bCs/>
                <w:sz w:val="22"/>
                <w:szCs w:val="22"/>
              </w:rPr>
            </w:pPr>
            <w:r w:rsidRPr="002F1ECC">
              <w:rPr>
                <w:rFonts w:cs="Arial"/>
                <w:b/>
                <w:bCs/>
                <w:sz w:val="22"/>
                <w:szCs w:val="22"/>
              </w:rPr>
              <w:t>Authorization Time Frame</w:t>
            </w:r>
          </w:p>
        </w:tc>
      </w:tr>
      <w:tr w:rsidR="00460B80" w:rsidRPr="006C460F" w14:paraId="6CB33C00" w14:textId="77777777" w:rsidTr="00282787">
        <w:trPr>
          <w:trHeight w:val="1070"/>
        </w:trPr>
        <w:tc>
          <w:tcPr>
            <w:tcW w:w="3070" w:type="dxa"/>
          </w:tcPr>
          <w:p w14:paraId="72118E50" w14:textId="42C30A77" w:rsidR="001531BE" w:rsidRPr="001531BE" w:rsidRDefault="00460B80" w:rsidP="006C460F">
            <w:pPr>
              <w:rPr>
                <w:b/>
                <w:bCs/>
                <w:w w:val="110"/>
                <w:sz w:val="20"/>
                <w:szCs w:val="20"/>
              </w:rPr>
            </w:pPr>
            <w:r w:rsidRPr="001531BE">
              <w:rPr>
                <w:b/>
                <w:bCs/>
                <w:w w:val="110"/>
                <w:sz w:val="20"/>
                <w:szCs w:val="20"/>
              </w:rPr>
              <w:t>#</w:t>
            </w:r>
            <w:r w:rsidR="007F46FA">
              <w:rPr>
                <w:b/>
                <w:bCs/>
                <w:w w:val="110"/>
                <w:sz w:val="20"/>
                <w:szCs w:val="20"/>
              </w:rPr>
              <w:t>3</w:t>
            </w:r>
            <w:r w:rsidRPr="001531BE">
              <w:rPr>
                <w:b/>
                <w:bCs/>
                <w:w w:val="110"/>
                <w:sz w:val="20"/>
                <w:szCs w:val="20"/>
              </w:rPr>
              <w:t xml:space="preserve"> - People who had Medicaid</w:t>
            </w:r>
          </w:p>
          <w:p w14:paraId="3B3D097B" w14:textId="21F1747D" w:rsidR="00460B80" w:rsidRPr="006C460F" w:rsidRDefault="001531BE" w:rsidP="006C460F">
            <w:pPr>
              <w:rPr>
                <w:rFonts w:cs="Arial"/>
                <w:b/>
                <w:bCs/>
                <w:sz w:val="20"/>
                <w:szCs w:val="20"/>
                <w:u w:val="single"/>
              </w:rPr>
            </w:pPr>
            <w:r>
              <w:rPr>
                <w:w w:val="110"/>
                <w:sz w:val="20"/>
                <w:szCs w:val="20"/>
              </w:rPr>
              <w:br/>
            </w:r>
            <w:r w:rsidRPr="001531BE">
              <w:rPr>
                <w:w w:val="110"/>
                <w:sz w:val="20"/>
                <w:szCs w:val="20"/>
              </w:rPr>
              <w:t>People who had Medicaid</w:t>
            </w:r>
            <w:r w:rsidR="00460B80" w:rsidRPr="006C460F">
              <w:rPr>
                <w:w w:val="110"/>
                <w:sz w:val="20"/>
                <w:szCs w:val="20"/>
              </w:rPr>
              <w:t xml:space="preserve">, were </w:t>
            </w:r>
            <w:r w:rsidR="00D309D2" w:rsidRPr="006C460F">
              <w:rPr>
                <w:w w:val="105"/>
                <w:sz w:val="20"/>
                <w:szCs w:val="20"/>
              </w:rPr>
              <w:t>receiving</w:t>
            </w:r>
            <w:r w:rsidR="00460B80" w:rsidRPr="006C460F">
              <w:rPr>
                <w:w w:val="105"/>
                <w:sz w:val="20"/>
                <w:szCs w:val="20"/>
              </w:rPr>
              <w:t xml:space="preserve"> services, and </w:t>
            </w:r>
            <w:r w:rsidR="00460B80" w:rsidRPr="006C460F">
              <w:rPr>
                <w:w w:val="110"/>
                <w:sz w:val="20"/>
                <w:szCs w:val="20"/>
              </w:rPr>
              <w:t>then lost their Medicaid coverage</w:t>
            </w:r>
            <w:r>
              <w:rPr>
                <w:w w:val="110"/>
                <w:sz w:val="20"/>
                <w:szCs w:val="20"/>
              </w:rPr>
              <w:br/>
            </w:r>
          </w:p>
        </w:tc>
        <w:tc>
          <w:tcPr>
            <w:tcW w:w="2769" w:type="dxa"/>
          </w:tcPr>
          <w:p w14:paraId="2FA17A6B" w14:textId="389DFE2B" w:rsidR="00460B80" w:rsidRPr="006C460F" w:rsidRDefault="00B66472" w:rsidP="006C460F">
            <w:pPr>
              <w:rPr>
                <w:rFonts w:cs="Arial"/>
                <w:b/>
                <w:bCs/>
                <w:sz w:val="20"/>
                <w:szCs w:val="20"/>
                <w:u w:val="single"/>
              </w:rPr>
            </w:pPr>
            <w:r w:rsidRPr="00B66472">
              <w:rPr>
                <w:w w:val="105"/>
                <w:sz w:val="20"/>
                <w:szCs w:val="20"/>
              </w:rPr>
              <w:t>Varies</w:t>
            </w:r>
          </w:p>
        </w:tc>
        <w:tc>
          <w:tcPr>
            <w:tcW w:w="2517" w:type="dxa"/>
          </w:tcPr>
          <w:p w14:paraId="60E22054" w14:textId="60DB4DEF" w:rsidR="00460B80" w:rsidRPr="006C460F" w:rsidRDefault="00460B80" w:rsidP="006C460F">
            <w:pPr>
              <w:rPr>
                <w:rFonts w:cs="Arial"/>
                <w:b/>
                <w:bCs/>
                <w:sz w:val="20"/>
                <w:szCs w:val="20"/>
                <w:u w:val="single"/>
              </w:rPr>
            </w:pPr>
            <w:r w:rsidRPr="006C460F">
              <w:rPr>
                <w:w w:val="105"/>
                <w:sz w:val="20"/>
                <w:szCs w:val="20"/>
              </w:rPr>
              <w:t>Can continue the current services</w:t>
            </w:r>
            <w:r w:rsidRPr="006C460F">
              <w:rPr>
                <w:spacing w:val="-14"/>
                <w:w w:val="105"/>
                <w:sz w:val="20"/>
                <w:szCs w:val="20"/>
              </w:rPr>
              <w:t xml:space="preserve"> </w:t>
            </w:r>
            <w:r w:rsidRPr="006C460F">
              <w:rPr>
                <w:w w:val="105"/>
                <w:sz w:val="20"/>
                <w:szCs w:val="20"/>
              </w:rPr>
              <w:t>described</w:t>
            </w:r>
            <w:r w:rsidRPr="006C460F">
              <w:rPr>
                <w:spacing w:val="-14"/>
                <w:w w:val="105"/>
                <w:sz w:val="20"/>
                <w:szCs w:val="20"/>
              </w:rPr>
              <w:t xml:space="preserve"> </w:t>
            </w:r>
            <w:r w:rsidRPr="006C460F">
              <w:rPr>
                <w:w w:val="105"/>
                <w:sz w:val="20"/>
                <w:szCs w:val="20"/>
              </w:rPr>
              <w:t>in</w:t>
            </w:r>
            <w:r w:rsidRPr="006C460F">
              <w:rPr>
                <w:spacing w:val="-15"/>
                <w:w w:val="105"/>
                <w:sz w:val="20"/>
                <w:szCs w:val="20"/>
              </w:rPr>
              <w:t xml:space="preserve"> </w:t>
            </w:r>
            <w:r w:rsidRPr="006C460F">
              <w:rPr>
                <w:w w:val="105"/>
                <w:sz w:val="20"/>
                <w:szCs w:val="20"/>
              </w:rPr>
              <w:t>their</w:t>
            </w:r>
            <w:r w:rsidRPr="006C460F">
              <w:rPr>
                <w:spacing w:val="-15"/>
                <w:w w:val="105"/>
                <w:sz w:val="20"/>
                <w:szCs w:val="20"/>
              </w:rPr>
              <w:t xml:space="preserve"> </w:t>
            </w:r>
            <w:r w:rsidRPr="006C460F">
              <w:rPr>
                <w:w w:val="105"/>
                <w:sz w:val="20"/>
                <w:szCs w:val="20"/>
              </w:rPr>
              <w:t>IPOS in the same amount, scope, and duration for up to 60</w:t>
            </w:r>
            <w:r w:rsidRPr="006C460F">
              <w:rPr>
                <w:spacing w:val="-17"/>
                <w:w w:val="105"/>
                <w:sz w:val="20"/>
                <w:szCs w:val="20"/>
              </w:rPr>
              <w:t xml:space="preserve"> </w:t>
            </w:r>
            <w:r w:rsidRPr="006C460F">
              <w:rPr>
                <w:w w:val="105"/>
                <w:sz w:val="20"/>
                <w:szCs w:val="20"/>
              </w:rPr>
              <w:t>days</w:t>
            </w:r>
            <w:r w:rsidR="0022648A">
              <w:rPr>
                <w:w w:val="105"/>
                <w:sz w:val="20"/>
                <w:szCs w:val="20"/>
              </w:rPr>
              <w:t xml:space="preserve"> from the date of Medicaid coverage loss.</w:t>
            </w:r>
            <w:r w:rsidR="00EC7BC7">
              <w:rPr>
                <w:w w:val="105"/>
                <w:sz w:val="20"/>
                <w:szCs w:val="20"/>
              </w:rPr>
              <w:br/>
            </w:r>
          </w:p>
        </w:tc>
        <w:tc>
          <w:tcPr>
            <w:tcW w:w="2623" w:type="dxa"/>
          </w:tcPr>
          <w:p w14:paraId="5DFF1EF7" w14:textId="5F018F0E" w:rsidR="00460B80" w:rsidRPr="006C460F" w:rsidRDefault="00B66472" w:rsidP="006C460F">
            <w:pPr>
              <w:rPr>
                <w:rFonts w:cs="Arial"/>
                <w:b/>
                <w:bCs/>
                <w:sz w:val="20"/>
                <w:szCs w:val="20"/>
                <w:u w:val="single"/>
              </w:rPr>
            </w:pPr>
            <w:r w:rsidRPr="00B66472">
              <w:rPr>
                <w:w w:val="105"/>
                <w:sz w:val="20"/>
                <w:szCs w:val="20"/>
              </w:rPr>
              <w:t>Varies</w:t>
            </w:r>
          </w:p>
        </w:tc>
        <w:tc>
          <w:tcPr>
            <w:tcW w:w="3380" w:type="dxa"/>
          </w:tcPr>
          <w:p w14:paraId="312CBB6E" w14:textId="77777777" w:rsidR="00460B80" w:rsidRPr="00ED01DA" w:rsidRDefault="00460B80" w:rsidP="006C460F">
            <w:pPr>
              <w:rPr>
                <w:b/>
                <w:bCs/>
                <w:sz w:val="20"/>
                <w:szCs w:val="20"/>
              </w:rPr>
            </w:pPr>
            <w:r w:rsidRPr="00ED01DA">
              <w:rPr>
                <w:b/>
                <w:bCs/>
                <w:sz w:val="20"/>
                <w:szCs w:val="20"/>
              </w:rPr>
              <w:t>60 days</w:t>
            </w:r>
          </w:p>
          <w:p w14:paraId="1C1F32F8" w14:textId="77777777" w:rsidR="00460B80" w:rsidRPr="006C460F" w:rsidRDefault="00460B80" w:rsidP="006C460F">
            <w:pPr>
              <w:rPr>
                <w:sz w:val="20"/>
                <w:szCs w:val="20"/>
              </w:rPr>
            </w:pPr>
          </w:p>
          <w:p w14:paraId="1F53CB84" w14:textId="73F31CEC" w:rsidR="00460B80" w:rsidRPr="006C460F" w:rsidRDefault="00460B80" w:rsidP="006C460F">
            <w:pPr>
              <w:rPr>
                <w:rFonts w:cs="Arial"/>
                <w:b/>
                <w:bCs/>
                <w:sz w:val="20"/>
                <w:szCs w:val="20"/>
                <w:u w:val="single"/>
              </w:rPr>
            </w:pPr>
            <w:r w:rsidRPr="006C460F">
              <w:rPr>
                <w:sz w:val="20"/>
                <w:szCs w:val="20"/>
              </w:rPr>
              <w:t>The 60-day limitation does not apply to CCBHC eligible consumers receiving CCBHC services.</w:t>
            </w:r>
          </w:p>
        </w:tc>
      </w:tr>
      <w:tr w:rsidR="00460B80" w:rsidRPr="006C460F" w14:paraId="0B47B79B" w14:textId="77777777" w:rsidTr="00282787">
        <w:trPr>
          <w:trHeight w:val="4508"/>
        </w:trPr>
        <w:tc>
          <w:tcPr>
            <w:tcW w:w="3070" w:type="dxa"/>
          </w:tcPr>
          <w:p w14:paraId="3311BCEB" w14:textId="1DCB877D" w:rsidR="00460B80" w:rsidRPr="006C460F" w:rsidRDefault="00875541" w:rsidP="006C460F">
            <w:pPr>
              <w:rPr>
                <w:rFonts w:cs="Arial"/>
                <w:b/>
                <w:bCs/>
                <w:sz w:val="20"/>
                <w:szCs w:val="20"/>
                <w:u w:val="single"/>
              </w:rPr>
            </w:pPr>
            <w:r w:rsidRPr="001531BE">
              <w:rPr>
                <w:rFonts w:cs="Arial"/>
                <w:b/>
                <w:bCs/>
                <w:w w:val="105"/>
                <w:sz w:val="20"/>
                <w:szCs w:val="20"/>
              </w:rPr>
              <w:lastRenderedPageBreak/>
              <w:t>#</w:t>
            </w:r>
            <w:r w:rsidR="00861829">
              <w:rPr>
                <w:rFonts w:cs="Arial"/>
                <w:b/>
                <w:bCs/>
                <w:w w:val="105"/>
                <w:sz w:val="20"/>
                <w:szCs w:val="20"/>
              </w:rPr>
              <w:t>4</w:t>
            </w:r>
            <w:r w:rsidRPr="001531BE">
              <w:rPr>
                <w:rFonts w:cs="Arial"/>
                <w:b/>
                <w:bCs/>
                <w:w w:val="105"/>
                <w:sz w:val="20"/>
                <w:szCs w:val="20"/>
              </w:rPr>
              <w:t xml:space="preserve"> - People without Medicaid</w:t>
            </w:r>
            <w:r w:rsidR="001531BE">
              <w:rPr>
                <w:rFonts w:cs="Arial"/>
                <w:w w:val="105"/>
                <w:sz w:val="20"/>
                <w:szCs w:val="20"/>
              </w:rPr>
              <w:br/>
            </w:r>
            <w:r w:rsidR="001531BE">
              <w:rPr>
                <w:rFonts w:cs="Arial"/>
                <w:w w:val="105"/>
                <w:sz w:val="20"/>
                <w:szCs w:val="20"/>
              </w:rPr>
              <w:br/>
            </w:r>
            <w:r w:rsidR="001531BE" w:rsidRPr="001531BE">
              <w:rPr>
                <w:rFonts w:cs="Arial"/>
                <w:w w:val="105"/>
                <w:sz w:val="20"/>
                <w:szCs w:val="20"/>
              </w:rPr>
              <w:t xml:space="preserve">People without Medicaid </w:t>
            </w:r>
            <w:r w:rsidRPr="006C460F">
              <w:rPr>
                <w:rFonts w:cs="Arial"/>
                <w:w w:val="105"/>
                <w:sz w:val="20"/>
                <w:szCs w:val="20"/>
              </w:rPr>
              <w:t>and outside either of the 60-day periods described in #1 or #3 above; will be eligible for Crisis Services only as detailed in this table</w:t>
            </w:r>
            <w:r w:rsidR="00282787">
              <w:rPr>
                <w:rFonts w:cs="Arial"/>
                <w:w w:val="105"/>
                <w:sz w:val="20"/>
                <w:szCs w:val="20"/>
              </w:rPr>
              <w:t>.</w:t>
            </w:r>
            <w:r w:rsidR="00013B60">
              <w:rPr>
                <w:rFonts w:cs="Arial"/>
                <w:w w:val="105"/>
                <w:sz w:val="20"/>
                <w:szCs w:val="20"/>
              </w:rPr>
              <w:t xml:space="preserve">  Individuals who have primary insurance coverage or Medicare would be covered under Medicaid as a secondary payor.  This box only applies to people no insurance coverage at all.  </w:t>
            </w:r>
          </w:p>
        </w:tc>
        <w:tc>
          <w:tcPr>
            <w:tcW w:w="2769" w:type="dxa"/>
          </w:tcPr>
          <w:p w14:paraId="72A7329F" w14:textId="77777777" w:rsidR="00875541" w:rsidRPr="006C460F" w:rsidRDefault="00875541" w:rsidP="006C460F">
            <w:pPr>
              <w:rPr>
                <w:sz w:val="20"/>
                <w:szCs w:val="20"/>
              </w:rPr>
            </w:pPr>
            <w:r w:rsidRPr="006C460F">
              <w:rPr>
                <w:w w:val="105"/>
                <w:sz w:val="20"/>
                <w:szCs w:val="20"/>
              </w:rPr>
              <w:t>Crisis Intervention, Crisis Stabilization</w:t>
            </w:r>
          </w:p>
          <w:p w14:paraId="134DF2CE" w14:textId="77777777" w:rsidR="00875541" w:rsidRPr="006C460F" w:rsidRDefault="00875541" w:rsidP="006C460F">
            <w:pPr>
              <w:rPr>
                <w:b/>
                <w:sz w:val="20"/>
                <w:szCs w:val="20"/>
              </w:rPr>
            </w:pPr>
          </w:p>
          <w:p w14:paraId="306871D3" w14:textId="294A1DFF" w:rsidR="00875541" w:rsidRPr="006C460F" w:rsidRDefault="00875541" w:rsidP="006C460F">
            <w:pPr>
              <w:rPr>
                <w:w w:val="110"/>
                <w:sz w:val="20"/>
                <w:szCs w:val="20"/>
              </w:rPr>
            </w:pPr>
            <w:r w:rsidRPr="006C460F">
              <w:rPr>
                <w:w w:val="110"/>
                <w:sz w:val="20"/>
                <w:szCs w:val="20"/>
              </w:rPr>
              <w:t>Screening for an Inpatient Psychiatric Hospitalization &amp; Inpatient Psychiatric Coverage</w:t>
            </w:r>
            <w:r w:rsidR="00013B60">
              <w:rPr>
                <w:w w:val="110"/>
                <w:sz w:val="20"/>
                <w:szCs w:val="20"/>
              </w:rPr>
              <w:t xml:space="preserve"> </w:t>
            </w:r>
            <w:r w:rsidR="00013B60" w:rsidRPr="00B66472">
              <w:rPr>
                <w:rFonts w:cs="Arial"/>
                <w:sz w:val="20"/>
                <w:szCs w:val="20"/>
              </w:rPr>
              <w:t xml:space="preserve">– excludes individuals with primary coverage </w:t>
            </w:r>
            <w:r w:rsidR="00B66472">
              <w:rPr>
                <w:rFonts w:cs="Arial"/>
                <w:sz w:val="20"/>
                <w:szCs w:val="20"/>
              </w:rPr>
              <w:t xml:space="preserve">including </w:t>
            </w:r>
            <w:r w:rsidR="00013B60" w:rsidRPr="00B66472">
              <w:rPr>
                <w:rFonts w:cs="Arial"/>
                <w:sz w:val="20"/>
                <w:szCs w:val="20"/>
              </w:rPr>
              <w:t>Medicare.</w:t>
            </w:r>
          </w:p>
          <w:p w14:paraId="31E36CD7" w14:textId="77777777" w:rsidR="00875541" w:rsidRPr="006C460F" w:rsidRDefault="00875541" w:rsidP="006C460F">
            <w:pPr>
              <w:rPr>
                <w:w w:val="110"/>
                <w:sz w:val="20"/>
                <w:szCs w:val="20"/>
              </w:rPr>
            </w:pPr>
          </w:p>
          <w:p w14:paraId="666F7E26" w14:textId="77777777" w:rsidR="00AA1EB5" w:rsidRDefault="00AA1EB5" w:rsidP="006C460F">
            <w:pPr>
              <w:rPr>
                <w:w w:val="110"/>
                <w:sz w:val="20"/>
                <w:szCs w:val="20"/>
              </w:rPr>
            </w:pPr>
          </w:p>
          <w:p w14:paraId="7CD34EFD" w14:textId="4DCDACEA" w:rsidR="00875541" w:rsidRPr="006C460F" w:rsidRDefault="00875541" w:rsidP="006C460F">
            <w:pPr>
              <w:rPr>
                <w:w w:val="110"/>
                <w:sz w:val="20"/>
                <w:szCs w:val="20"/>
              </w:rPr>
            </w:pPr>
            <w:r w:rsidRPr="006C460F">
              <w:rPr>
                <w:w w:val="110"/>
                <w:sz w:val="20"/>
                <w:szCs w:val="20"/>
              </w:rPr>
              <w:t>Crisis Residential</w:t>
            </w:r>
          </w:p>
          <w:p w14:paraId="518A4CC6" w14:textId="77777777" w:rsidR="00875541" w:rsidRPr="006C460F" w:rsidRDefault="00875541" w:rsidP="006C460F">
            <w:pPr>
              <w:rPr>
                <w:w w:val="110"/>
                <w:sz w:val="20"/>
                <w:szCs w:val="20"/>
              </w:rPr>
            </w:pPr>
          </w:p>
          <w:p w14:paraId="4A895305" w14:textId="1FD5342B" w:rsidR="00460B80" w:rsidRPr="006C460F" w:rsidRDefault="00875541" w:rsidP="006C460F">
            <w:pPr>
              <w:rPr>
                <w:rFonts w:cs="Arial"/>
                <w:b/>
                <w:bCs/>
                <w:sz w:val="20"/>
                <w:szCs w:val="20"/>
                <w:u w:val="single"/>
              </w:rPr>
            </w:pPr>
            <w:r w:rsidRPr="006C460F">
              <w:rPr>
                <w:w w:val="110"/>
                <w:sz w:val="20"/>
                <w:szCs w:val="20"/>
              </w:rPr>
              <w:t>Partial Hospitalization</w:t>
            </w:r>
          </w:p>
        </w:tc>
        <w:tc>
          <w:tcPr>
            <w:tcW w:w="2517" w:type="dxa"/>
          </w:tcPr>
          <w:p w14:paraId="1B729E66" w14:textId="77777777" w:rsidR="00460B80" w:rsidRPr="00ED01DA" w:rsidRDefault="00875541" w:rsidP="006C460F">
            <w:pPr>
              <w:rPr>
                <w:rFonts w:cs="Arial"/>
                <w:b/>
                <w:bCs/>
                <w:sz w:val="20"/>
                <w:szCs w:val="20"/>
              </w:rPr>
            </w:pPr>
            <w:r w:rsidRPr="00ED01DA">
              <w:rPr>
                <w:rFonts w:cs="Arial"/>
                <w:b/>
                <w:bCs/>
                <w:sz w:val="20"/>
                <w:szCs w:val="20"/>
              </w:rPr>
              <w:t>H2011 (GF)</w:t>
            </w:r>
          </w:p>
          <w:p w14:paraId="2D4B9F8F" w14:textId="77777777" w:rsidR="00875541" w:rsidRPr="00ED01DA" w:rsidRDefault="00875541" w:rsidP="006C460F">
            <w:pPr>
              <w:rPr>
                <w:rFonts w:cs="Arial"/>
                <w:b/>
                <w:bCs/>
                <w:sz w:val="20"/>
                <w:szCs w:val="20"/>
              </w:rPr>
            </w:pPr>
          </w:p>
          <w:p w14:paraId="0E2EAFA2" w14:textId="77777777" w:rsidR="00875541" w:rsidRPr="00ED01DA" w:rsidRDefault="00875541" w:rsidP="006C460F">
            <w:pPr>
              <w:rPr>
                <w:rFonts w:cs="Arial"/>
                <w:b/>
                <w:bCs/>
                <w:sz w:val="20"/>
                <w:szCs w:val="20"/>
              </w:rPr>
            </w:pPr>
          </w:p>
          <w:p w14:paraId="032FCC78" w14:textId="370A0969" w:rsidR="00875541" w:rsidRPr="00ED01DA" w:rsidRDefault="00875541" w:rsidP="006C460F">
            <w:pPr>
              <w:rPr>
                <w:rFonts w:cs="Arial"/>
                <w:b/>
                <w:bCs/>
                <w:sz w:val="20"/>
                <w:szCs w:val="20"/>
              </w:rPr>
            </w:pPr>
            <w:r w:rsidRPr="00ED01DA">
              <w:rPr>
                <w:rFonts w:cs="Arial"/>
                <w:b/>
                <w:bCs/>
                <w:sz w:val="20"/>
                <w:szCs w:val="20"/>
              </w:rPr>
              <w:t>T1023 (GF)</w:t>
            </w:r>
            <w:r w:rsidR="00013B60">
              <w:rPr>
                <w:rFonts w:cs="Arial"/>
                <w:b/>
                <w:bCs/>
                <w:sz w:val="20"/>
                <w:szCs w:val="20"/>
              </w:rPr>
              <w:t xml:space="preserve"> </w:t>
            </w:r>
          </w:p>
          <w:p w14:paraId="7E94E2C4" w14:textId="77777777" w:rsidR="00875541" w:rsidRPr="00ED01DA" w:rsidRDefault="00875541" w:rsidP="006C460F">
            <w:pPr>
              <w:rPr>
                <w:rFonts w:cs="Arial"/>
                <w:b/>
                <w:bCs/>
                <w:sz w:val="20"/>
                <w:szCs w:val="20"/>
              </w:rPr>
            </w:pPr>
          </w:p>
          <w:p w14:paraId="07AF7D28" w14:textId="77777777" w:rsidR="00875541" w:rsidRPr="00ED01DA" w:rsidRDefault="00875541" w:rsidP="006C460F">
            <w:pPr>
              <w:rPr>
                <w:rFonts w:cs="Arial"/>
                <w:b/>
                <w:bCs/>
                <w:sz w:val="20"/>
                <w:szCs w:val="20"/>
              </w:rPr>
            </w:pPr>
            <w:r w:rsidRPr="00ED01DA">
              <w:rPr>
                <w:rFonts w:cs="Arial"/>
                <w:b/>
                <w:bCs/>
                <w:sz w:val="20"/>
                <w:szCs w:val="20"/>
              </w:rPr>
              <w:t>Inpatient Psychiatric Coverage</w:t>
            </w:r>
          </w:p>
          <w:p w14:paraId="494E63AB" w14:textId="77777777" w:rsidR="00875541" w:rsidRPr="00ED01DA" w:rsidRDefault="00875541" w:rsidP="006C460F">
            <w:pPr>
              <w:rPr>
                <w:rFonts w:cs="Arial"/>
                <w:b/>
                <w:bCs/>
                <w:sz w:val="20"/>
                <w:szCs w:val="20"/>
              </w:rPr>
            </w:pPr>
            <w:r w:rsidRPr="00ED01DA">
              <w:rPr>
                <w:rFonts w:cs="Arial"/>
                <w:b/>
                <w:bCs/>
                <w:sz w:val="20"/>
                <w:szCs w:val="20"/>
              </w:rPr>
              <w:t>(GF)</w:t>
            </w:r>
          </w:p>
          <w:p w14:paraId="7879A266" w14:textId="77777777" w:rsidR="00875541" w:rsidRPr="00ED01DA" w:rsidRDefault="00875541" w:rsidP="006C460F">
            <w:pPr>
              <w:rPr>
                <w:rFonts w:cs="Arial"/>
                <w:b/>
                <w:bCs/>
                <w:sz w:val="20"/>
                <w:szCs w:val="20"/>
              </w:rPr>
            </w:pPr>
          </w:p>
          <w:p w14:paraId="12C65EA9" w14:textId="77777777" w:rsidR="00875541" w:rsidRPr="00ED01DA" w:rsidRDefault="00875541" w:rsidP="006C460F">
            <w:pPr>
              <w:rPr>
                <w:rFonts w:cs="Arial"/>
                <w:b/>
                <w:bCs/>
                <w:sz w:val="20"/>
                <w:szCs w:val="20"/>
              </w:rPr>
            </w:pPr>
            <w:r w:rsidRPr="00ED01DA">
              <w:rPr>
                <w:rFonts w:cs="Arial"/>
                <w:b/>
                <w:bCs/>
                <w:sz w:val="20"/>
                <w:szCs w:val="20"/>
              </w:rPr>
              <w:t>H0018 (GF)</w:t>
            </w:r>
          </w:p>
          <w:p w14:paraId="713EAAB7" w14:textId="77777777" w:rsidR="00875541" w:rsidRPr="00ED01DA" w:rsidRDefault="00875541" w:rsidP="006C460F">
            <w:pPr>
              <w:rPr>
                <w:rFonts w:cs="Arial"/>
                <w:b/>
                <w:bCs/>
                <w:sz w:val="20"/>
                <w:szCs w:val="20"/>
              </w:rPr>
            </w:pPr>
          </w:p>
          <w:p w14:paraId="1142C3E1" w14:textId="5D372E29" w:rsidR="00875541" w:rsidRPr="006C460F" w:rsidRDefault="00875541" w:rsidP="006C460F">
            <w:pPr>
              <w:rPr>
                <w:rFonts w:cs="Arial"/>
                <w:sz w:val="20"/>
                <w:szCs w:val="20"/>
              </w:rPr>
            </w:pPr>
            <w:r w:rsidRPr="00ED01DA">
              <w:rPr>
                <w:rFonts w:cs="Arial"/>
                <w:b/>
                <w:bCs/>
                <w:sz w:val="20"/>
                <w:szCs w:val="20"/>
              </w:rPr>
              <w:t>0912 (GF)</w:t>
            </w:r>
          </w:p>
        </w:tc>
        <w:tc>
          <w:tcPr>
            <w:tcW w:w="2623" w:type="dxa"/>
          </w:tcPr>
          <w:p w14:paraId="49615924" w14:textId="77777777" w:rsidR="00460B80" w:rsidRPr="006C460F" w:rsidRDefault="00460B80" w:rsidP="006C460F">
            <w:pPr>
              <w:rPr>
                <w:rFonts w:cs="Arial"/>
                <w:b/>
                <w:bCs/>
                <w:sz w:val="20"/>
                <w:szCs w:val="20"/>
                <w:u w:val="single"/>
              </w:rPr>
            </w:pPr>
          </w:p>
        </w:tc>
        <w:tc>
          <w:tcPr>
            <w:tcW w:w="3380" w:type="dxa"/>
          </w:tcPr>
          <w:p w14:paraId="38C006AF" w14:textId="2587B88F" w:rsidR="00460B80" w:rsidRPr="006C460F" w:rsidRDefault="00875541" w:rsidP="006C460F">
            <w:pPr>
              <w:rPr>
                <w:w w:val="110"/>
                <w:sz w:val="20"/>
                <w:szCs w:val="20"/>
              </w:rPr>
            </w:pPr>
            <w:r w:rsidRPr="006C460F">
              <w:rPr>
                <w:w w:val="110"/>
                <w:sz w:val="20"/>
                <w:szCs w:val="20"/>
              </w:rPr>
              <w:t>No limit or prior authorization required.</w:t>
            </w:r>
          </w:p>
          <w:p w14:paraId="41054293" w14:textId="3FF3152B" w:rsidR="00875541" w:rsidRPr="006C460F" w:rsidRDefault="00ED01DA" w:rsidP="006C460F">
            <w:pPr>
              <w:rPr>
                <w:b/>
                <w:sz w:val="20"/>
                <w:szCs w:val="20"/>
              </w:rPr>
            </w:pPr>
            <w:r>
              <w:rPr>
                <w:b/>
                <w:w w:val="105"/>
                <w:sz w:val="20"/>
                <w:szCs w:val="20"/>
              </w:rPr>
              <w:br/>
            </w:r>
            <w:r w:rsidR="00875541" w:rsidRPr="006C460F">
              <w:rPr>
                <w:b/>
                <w:w w:val="105"/>
                <w:sz w:val="20"/>
                <w:szCs w:val="20"/>
              </w:rPr>
              <w:t>IMPORTANT!</w:t>
            </w:r>
          </w:p>
          <w:p w14:paraId="3CF05F40" w14:textId="572D5D85" w:rsidR="00875541" w:rsidRPr="006C460F" w:rsidRDefault="00875541" w:rsidP="006C460F">
            <w:pPr>
              <w:rPr>
                <w:sz w:val="20"/>
                <w:szCs w:val="20"/>
              </w:rPr>
            </w:pPr>
            <w:r w:rsidRPr="006C460F">
              <w:rPr>
                <w:w w:val="105"/>
                <w:sz w:val="20"/>
                <w:szCs w:val="20"/>
              </w:rPr>
              <w:t xml:space="preserve">Remember they do not need to be a resident of </w:t>
            </w:r>
            <w:r w:rsidR="007E68E0" w:rsidRPr="006C460F">
              <w:rPr>
                <w:w w:val="105"/>
                <w:sz w:val="20"/>
                <w:szCs w:val="20"/>
              </w:rPr>
              <w:t>Monroe</w:t>
            </w:r>
            <w:r w:rsidRPr="006C460F">
              <w:rPr>
                <w:w w:val="105"/>
                <w:sz w:val="20"/>
                <w:szCs w:val="20"/>
              </w:rPr>
              <w:t xml:space="preserve"> County to qualify for CCBHC services</w:t>
            </w:r>
            <w:r w:rsidR="0016702A" w:rsidRPr="006C460F">
              <w:rPr>
                <w:w w:val="105"/>
                <w:sz w:val="20"/>
                <w:szCs w:val="20"/>
              </w:rPr>
              <w:t>.</w:t>
            </w:r>
          </w:p>
          <w:p w14:paraId="6C82E733" w14:textId="77777777" w:rsidR="00875541" w:rsidRPr="006C460F" w:rsidRDefault="00875541" w:rsidP="006C460F">
            <w:pPr>
              <w:rPr>
                <w:b/>
                <w:sz w:val="20"/>
                <w:szCs w:val="20"/>
              </w:rPr>
            </w:pPr>
          </w:p>
          <w:p w14:paraId="36A5A214" w14:textId="42FC4B02" w:rsidR="00875541" w:rsidRPr="006C460F" w:rsidRDefault="00875541" w:rsidP="006C460F">
            <w:pPr>
              <w:rPr>
                <w:b/>
                <w:bCs/>
                <w:sz w:val="20"/>
                <w:szCs w:val="20"/>
                <w:u w:val="single"/>
              </w:rPr>
            </w:pPr>
            <w:r w:rsidRPr="006C460F">
              <w:rPr>
                <w:w w:val="105"/>
                <w:sz w:val="20"/>
                <w:szCs w:val="20"/>
              </w:rPr>
              <w:t>If they prefer not to enter CCBHC services, they need to receive notice that they will be added to our Non-Medicaid Wait List which is reviewed</w:t>
            </w:r>
            <w:r w:rsidR="0016702A" w:rsidRPr="006C460F">
              <w:rPr>
                <w:w w:val="105"/>
                <w:sz w:val="20"/>
                <w:szCs w:val="20"/>
              </w:rPr>
              <w:t xml:space="preserve"> </w:t>
            </w:r>
            <w:r w:rsidRPr="006C460F">
              <w:rPr>
                <w:w w:val="110"/>
                <w:sz w:val="20"/>
                <w:szCs w:val="20"/>
              </w:rPr>
              <w:t>monthly.</w:t>
            </w:r>
            <w:r w:rsidR="00EC7BC7">
              <w:rPr>
                <w:w w:val="110"/>
                <w:sz w:val="20"/>
                <w:szCs w:val="20"/>
              </w:rPr>
              <w:br/>
            </w:r>
          </w:p>
        </w:tc>
      </w:tr>
      <w:tr w:rsidR="00875541" w:rsidRPr="006C460F" w14:paraId="6A9040F7" w14:textId="77777777" w:rsidTr="00282787">
        <w:trPr>
          <w:trHeight w:val="2870"/>
        </w:trPr>
        <w:tc>
          <w:tcPr>
            <w:tcW w:w="3070" w:type="dxa"/>
          </w:tcPr>
          <w:p w14:paraId="2DFCE041" w14:textId="02BE901D" w:rsidR="00875541" w:rsidRPr="006C460F" w:rsidRDefault="0052107B" w:rsidP="006C460F">
            <w:pPr>
              <w:rPr>
                <w:rFonts w:cs="Arial"/>
                <w:b/>
                <w:bCs/>
                <w:sz w:val="20"/>
                <w:szCs w:val="20"/>
                <w:u w:val="single"/>
              </w:rPr>
            </w:pPr>
            <w:r w:rsidRPr="001531BE">
              <w:rPr>
                <w:b/>
                <w:bCs/>
                <w:w w:val="110"/>
                <w:sz w:val="20"/>
                <w:szCs w:val="20"/>
              </w:rPr>
              <w:t>#</w:t>
            </w:r>
            <w:r w:rsidR="00861829">
              <w:rPr>
                <w:b/>
                <w:bCs/>
                <w:w w:val="110"/>
                <w:sz w:val="20"/>
                <w:szCs w:val="20"/>
              </w:rPr>
              <w:t>5</w:t>
            </w:r>
            <w:r w:rsidR="001531BE" w:rsidRPr="001531BE">
              <w:rPr>
                <w:b/>
                <w:bCs/>
                <w:w w:val="110"/>
                <w:sz w:val="20"/>
                <w:szCs w:val="20"/>
              </w:rPr>
              <w:t xml:space="preserve"> </w:t>
            </w:r>
            <w:r w:rsidR="00875541" w:rsidRPr="001531BE">
              <w:rPr>
                <w:b/>
                <w:bCs/>
                <w:w w:val="110"/>
                <w:sz w:val="20"/>
                <w:szCs w:val="20"/>
              </w:rPr>
              <w:t>-</w:t>
            </w:r>
            <w:r w:rsidR="001531BE" w:rsidRPr="001531BE">
              <w:rPr>
                <w:b/>
                <w:bCs/>
                <w:w w:val="110"/>
                <w:sz w:val="20"/>
                <w:szCs w:val="20"/>
              </w:rPr>
              <w:t xml:space="preserve"> A</w:t>
            </w:r>
            <w:r w:rsidR="00875541" w:rsidRPr="001531BE">
              <w:rPr>
                <w:b/>
                <w:bCs/>
                <w:w w:val="110"/>
                <w:sz w:val="20"/>
                <w:szCs w:val="20"/>
              </w:rPr>
              <w:t>pproved Exceptions</w:t>
            </w:r>
            <w:r w:rsidR="001531BE">
              <w:rPr>
                <w:w w:val="110"/>
                <w:sz w:val="20"/>
                <w:szCs w:val="20"/>
              </w:rPr>
              <w:br/>
            </w:r>
            <w:r w:rsidR="001531BE">
              <w:rPr>
                <w:w w:val="110"/>
                <w:sz w:val="20"/>
                <w:szCs w:val="20"/>
              </w:rPr>
              <w:br/>
              <w:t>Approved exceptions</w:t>
            </w:r>
            <w:r w:rsidR="00875541" w:rsidRPr="006C460F">
              <w:rPr>
                <w:w w:val="110"/>
                <w:sz w:val="20"/>
                <w:szCs w:val="20"/>
              </w:rPr>
              <w:t xml:space="preserve"> to these </w:t>
            </w:r>
            <w:r w:rsidR="00E325BB" w:rsidRPr="006C460F">
              <w:rPr>
                <w:w w:val="110"/>
                <w:sz w:val="20"/>
                <w:szCs w:val="20"/>
              </w:rPr>
              <w:t>services</w:t>
            </w:r>
            <w:r w:rsidR="00875541" w:rsidRPr="006C460F">
              <w:rPr>
                <w:w w:val="110"/>
                <w:sz w:val="20"/>
                <w:szCs w:val="20"/>
              </w:rPr>
              <w:t xml:space="preserve"> or time restrictions listed above. Non-</w:t>
            </w:r>
            <w:r w:rsidR="00B66472" w:rsidRPr="006C460F">
              <w:rPr>
                <w:w w:val="110"/>
                <w:sz w:val="20"/>
                <w:szCs w:val="20"/>
              </w:rPr>
              <w:t>Medicaid</w:t>
            </w:r>
            <w:r w:rsidR="00B66472">
              <w:rPr>
                <w:rFonts w:cs="Arial"/>
                <w:w w:val="105"/>
                <w:sz w:val="20"/>
                <w:szCs w:val="20"/>
              </w:rPr>
              <w:t xml:space="preserve"> </w:t>
            </w:r>
            <w:r w:rsidR="00B66472" w:rsidRPr="006C460F">
              <w:rPr>
                <w:rFonts w:cs="Arial"/>
                <w:w w:val="105"/>
                <w:sz w:val="20"/>
                <w:szCs w:val="20"/>
              </w:rPr>
              <w:t>exceptions</w:t>
            </w:r>
            <w:r w:rsidR="00875541" w:rsidRPr="006C460F">
              <w:rPr>
                <w:rFonts w:cs="Arial"/>
                <w:w w:val="105"/>
                <w:sz w:val="20"/>
                <w:szCs w:val="20"/>
              </w:rPr>
              <w:t xml:space="preserve"> will be</w:t>
            </w:r>
            <w:r w:rsidR="0016702A" w:rsidRPr="006C460F">
              <w:rPr>
                <w:rFonts w:cs="Arial"/>
                <w:w w:val="105"/>
                <w:sz w:val="20"/>
                <w:szCs w:val="20"/>
              </w:rPr>
              <w:t xml:space="preserve"> </w:t>
            </w:r>
            <w:r w:rsidR="00875541" w:rsidRPr="006C460F">
              <w:rPr>
                <w:w w:val="110"/>
                <w:sz w:val="20"/>
                <w:szCs w:val="20"/>
              </w:rPr>
              <w:t xml:space="preserve">reviewed on </w:t>
            </w:r>
            <w:r w:rsidR="00875541" w:rsidRPr="006C460F">
              <w:rPr>
                <w:rFonts w:cs="Arial"/>
                <w:w w:val="110"/>
                <w:sz w:val="20"/>
                <w:szCs w:val="20"/>
              </w:rPr>
              <w:t>an individual basis with a focus on health/safety and the attempts being made to get Medicaid</w:t>
            </w:r>
            <w:r w:rsidR="0016702A" w:rsidRPr="006C460F">
              <w:rPr>
                <w:rFonts w:cs="Arial"/>
                <w:w w:val="110"/>
                <w:sz w:val="20"/>
                <w:szCs w:val="20"/>
              </w:rPr>
              <w:t xml:space="preserve"> </w:t>
            </w:r>
            <w:r w:rsidR="00875541" w:rsidRPr="006C460F">
              <w:rPr>
                <w:rFonts w:cs="Arial"/>
                <w:w w:val="105"/>
                <w:sz w:val="20"/>
                <w:szCs w:val="20"/>
              </w:rPr>
              <w:t>coverage in place.</w:t>
            </w:r>
          </w:p>
        </w:tc>
        <w:tc>
          <w:tcPr>
            <w:tcW w:w="2769" w:type="dxa"/>
          </w:tcPr>
          <w:p w14:paraId="5933EED6" w14:textId="1B6D96A2" w:rsidR="00875541" w:rsidRPr="006C460F" w:rsidRDefault="00875541" w:rsidP="006C460F">
            <w:pPr>
              <w:rPr>
                <w:rFonts w:cs="Arial"/>
                <w:b/>
                <w:bCs/>
                <w:sz w:val="20"/>
                <w:szCs w:val="20"/>
                <w:u w:val="single"/>
              </w:rPr>
            </w:pPr>
            <w:r w:rsidRPr="006C460F">
              <w:rPr>
                <w:w w:val="105"/>
                <w:sz w:val="20"/>
                <w:szCs w:val="20"/>
              </w:rPr>
              <w:t xml:space="preserve">The exception request must clearly state the requested services along with their amount, scope, and duration as well as all efforts actively being pursued to obtain active Medicaid.  This request should be submitted to </w:t>
            </w:r>
            <w:hyperlink r:id="rId12" w:history="1">
              <w:r w:rsidR="007E68E0" w:rsidRPr="006C460F">
                <w:rPr>
                  <w:rStyle w:val="Hyperlink"/>
                  <w:w w:val="105"/>
                  <w:sz w:val="20"/>
                  <w:szCs w:val="20"/>
                </w:rPr>
                <w:t>NonMedicaid@MCMHA.org</w:t>
              </w:r>
            </w:hyperlink>
            <w:r w:rsidRPr="006C460F">
              <w:rPr>
                <w:w w:val="105"/>
                <w:sz w:val="20"/>
                <w:szCs w:val="20"/>
              </w:rPr>
              <w:t xml:space="preserve">.  </w:t>
            </w:r>
            <w:r w:rsidR="00EC7BC7">
              <w:rPr>
                <w:w w:val="105"/>
                <w:sz w:val="20"/>
                <w:szCs w:val="20"/>
              </w:rPr>
              <w:br/>
            </w:r>
            <w:r w:rsidR="00EC7BC7">
              <w:rPr>
                <w:w w:val="105"/>
                <w:sz w:val="20"/>
                <w:szCs w:val="20"/>
              </w:rPr>
              <w:br/>
            </w:r>
            <w:r w:rsidRPr="006C460F">
              <w:rPr>
                <w:w w:val="105"/>
                <w:sz w:val="20"/>
                <w:szCs w:val="20"/>
              </w:rPr>
              <w:t xml:space="preserve">The </w:t>
            </w:r>
            <w:proofErr w:type="gramStart"/>
            <w:r w:rsidRPr="006C460F">
              <w:rPr>
                <w:w w:val="105"/>
                <w:sz w:val="20"/>
                <w:szCs w:val="20"/>
              </w:rPr>
              <w:t>Non-Medicaid</w:t>
            </w:r>
            <w:proofErr w:type="gramEnd"/>
            <w:r w:rsidRPr="006C460F">
              <w:rPr>
                <w:w w:val="105"/>
                <w:sz w:val="20"/>
                <w:szCs w:val="20"/>
              </w:rPr>
              <w:t xml:space="preserve"> review committee will collectively make a determination on authorization of services</w:t>
            </w:r>
            <w:r w:rsidR="00B66472">
              <w:rPr>
                <w:w w:val="105"/>
                <w:sz w:val="20"/>
                <w:szCs w:val="20"/>
              </w:rPr>
              <w:t>.</w:t>
            </w:r>
          </w:p>
        </w:tc>
        <w:tc>
          <w:tcPr>
            <w:tcW w:w="2517" w:type="dxa"/>
          </w:tcPr>
          <w:p w14:paraId="385E5DB0" w14:textId="76A0D5D7" w:rsidR="00875541" w:rsidRPr="006C460F" w:rsidRDefault="00875541" w:rsidP="006C460F">
            <w:pPr>
              <w:rPr>
                <w:rFonts w:cs="Arial"/>
                <w:b/>
                <w:bCs/>
                <w:sz w:val="20"/>
                <w:szCs w:val="20"/>
                <w:u w:val="single"/>
              </w:rPr>
            </w:pPr>
            <w:r w:rsidRPr="006C460F">
              <w:rPr>
                <w:w w:val="105"/>
                <w:sz w:val="20"/>
                <w:szCs w:val="20"/>
              </w:rPr>
              <w:t>Whatever has been approved through the Exception Request process</w:t>
            </w:r>
          </w:p>
        </w:tc>
        <w:tc>
          <w:tcPr>
            <w:tcW w:w="2623" w:type="dxa"/>
          </w:tcPr>
          <w:p w14:paraId="173CE987" w14:textId="09DD2A8F" w:rsidR="00875541" w:rsidRPr="006C460F" w:rsidRDefault="009517C2" w:rsidP="006C460F">
            <w:pPr>
              <w:rPr>
                <w:rFonts w:cs="Arial"/>
                <w:b/>
                <w:bCs/>
                <w:sz w:val="20"/>
                <w:szCs w:val="20"/>
                <w:u w:val="single"/>
              </w:rPr>
            </w:pPr>
            <w:r w:rsidRPr="006C460F">
              <w:rPr>
                <w:w w:val="105"/>
                <w:sz w:val="20"/>
                <w:szCs w:val="20"/>
              </w:rPr>
              <w:t>Whatever has been approved through the Exception Request process</w:t>
            </w:r>
          </w:p>
        </w:tc>
        <w:tc>
          <w:tcPr>
            <w:tcW w:w="3380" w:type="dxa"/>
          </w:tcPr>
          <w:p w14:paraId="16D7A98D" w14:textId="1D2AB369" w:rsidR="00875541" w:rsidRPr="006C460F" w:rsidRDefault="00875541" w:rsidP="006C460F">
            <w:pPr>
              <w:rPr>
                <w:rFonts w:cs="Arial"/>
                <w:b/>
                <w:bCs/>
                <w:sz w:val="20"/>
                <w:szCs w:val="20"/>
                <w:u w:val="single"/>
              </w:rPr>
            </w:pPr>
            <w:r w:rsidRPr="006C460F">
              <w:rPr>
                <w:w w:val="110"/>
                <w:sz w:val="20"/>
                <w:szCs w:val="20"/>
              </w:rPr>
              <w:t>Typically, short term authorizations only- less than 60 days</w:t>
            </w:r>
          </w:p>
        </w:tc>
      </w:tr>
      <w:tr w:rsidR="00282787" w:rsidRPr="006C460F" w14:paraId="35FA0943" w14:textId="77777777" w:rsidTr="00282787">
        <w:trPr>
          <w:trHeight w:val="2870"/>
        </w:trPr>
        <w:tc>
          <w:tcPr>
            <w:tcW w:w="3070" w:type="dxa"/>
          </w:tcPr>
          <w:p w14:paraId="0950BE36" w14:textId="16C00497" w:rsidR="00282787" w:rsidRPr="001531BE" w:rsidRDefault="00282787" w:rsidP="009517C2">
            <w:pPr>
              <w:rPr>
                <w:b/>
                <w:bCs/>
                <w:w w:val="110"/>
                <w:sz w:val="20"/>
                <w:szCs w:val="20"/>
              </w:rPr>
            </w:pPr>
            <w:r>
              <w:rPr>
                <w:b/>
                <w:bCs/>
                <w:w w:val="110"/>
                <w:sz w:val="20"/>
                <w:szCs w:val="20"/>
              </w:rPr>
              <w:t>Special Notes</w:t>
            </w:r>
          </w:p>
        </w:tc>
        <w:tc>
          <w:tcPr>
            <w:tcW w:w="2769" w:type="dxa"/>
          </w:tcPr>
          <w:p w14:paraId="799DDAD5" w14:textId="0E232603" w:rsidR="00282787" w:rsidRPr="006C460F" w:rsidRDefault="00861829" w:rsidP="006C460F">
            <w:pPr>
              <w:rPr>
                <w:w w:val="105"/>
                <w:sz w:val="20"/>
                <w:szCs w:val="20"/>
              </w:rPr>
            </w:pPr>
            <w:r>
              <w:rPr>
                <w:w w:val="105"/>
                <w:sz w:val="20"/>
                <w:szCs w:val="20"/>
              </w:rPr>
              <w:t>Emergency Services Only (</w:t>
            </w:r>
            <w:r w:rsidR="00282787">
              <w:rPr>
                <w:w w:val="105"/>
                <w:sz w:val="20"/>
                <w:szCs w:val="20"/>
              </w:rPr>
              <w:t>ESO</w:t>
            </w:r>
            <w:r>
              <w:rPr>
                <w:w w:val="105"/>
                <w:sz w:val="20"/>
                <w:szCs w:val="20"/>
              </w:rPr>
              <w:t>)</w:t>
            </w:r>
            <w:r w:rsidR="00282787">
              <w:rPr>
                <w:w w:val="105"/>
                <w:sz w:val="20"/>
                <w:szCs w:val="20"/>
              </w:rPr>
              <w:t xml:space="preserve"> </w:t>
            </w:r>
            <w:r>
              <w:rPr>
                <w:w w:val="105"/>
                <w:sz w:val="20"/>
                <w:szCs w:val="20"/>
              </w:rPr>
              <w:t>–</w:t>
            </w:r>
            <w:r w:rsidR="00282787">
              <w:rPr>
                <w:w w:val="105"/>
                <w:sz w:val="20"/>
                <w:szCs w:val="20"/>
              </w:rPr>
              <w:t xml:space="preserve"> </w:t>
            </w:r>
            <w:r>
              <w:rPr>
                <w:w w:val="105"/>
                <w:sz w:val="20"/>
                <w:szCs w:val="20"/>
              </w:rPr>
              <w:t xml:space="preserve">This largely relates to individuals who have citizenship issues and is not to be confused with the emergency/crisis services noted in #4 above.  </w:t>
            </w:r>
            <w:r w:rsidR="00282787">
              <w:rPr>
                <w:w w:val="105"/>
                <w:sz w:val="20"/>
                <w:szCs w:val="20"/>
              </w:rPr>
              <w:t xml:space="preserve">If someone presents with an eligibility status of ESO, please consult </w:t>
            </w:r>
            <w:r>
              <w:rPr>
                <w:w w:val="105"/>
                <w:sz w:val="20"/>
                <w:szCs w:val="20"/>
              </w:rPr>
              <w:t xml:space="preserve">a </w:t>
            </w:r>
            <w:r w:rsidR="00282787">
              <w:rPr>
                <w:w w:val="105"/>
                <w:sz w:val="20"/>
                <w:szCs w:val="20"/>
              </w:rPr>
              <w:t>supervisor.</w:t>
            </w:r>
          </w:p>
        </w:tc>
        <w:tc>
          <w:tcPr>
            <w:tcW w:w="2517" w:type="dxa"/>
          </w:tcPr>
          <w:p w14:paraId="37E10694" w14:textId="241E82B7" w:rsidR="00282787" w:rsidRPr="006C460F" w:rsidRDefault="00A41DD4" w:rsidP="006C460F">
            <w:pPr>
              <w:rPr>
                <w:w w:val="105"/>
                <w:sz w:val="20"/>
                <w:szCs w:val="20"/>
              </w:rPr>
            </w:pPr>
            <w:r>
              <w:rPr>
                <w:w w:val="105"/>
                <w:sz w:val="20"/>
                <w:szCs w:val="20"/>
              </w:rPr>
              <w:t>ESO - If someone presents with an eligibility status of ESO, please consult supervisor.</w:t>
            </w:r>
          </w:p>
        </w:tc>
        <w:tc>
          <w:tcPr>
            <w:tcW w:w="2623" w:type="dxa"/>
          </w:tcPr>
          <w:p w14:paraId="4EC63681" w14:textId="6A8D5D89" w:rsidR="00282787" w:rsidRPr="006C460F" w:rsidRDefault="00A41DD4" w:rsidP="006C460F">
            <w:pPr>
              <w:rPr>
                <w:w w:val="105"/>
                <w:sz w:val="20"/>
                <w:szCs w:val="20"/>
              </w:rPr>
            </w:pPr>
            <w:r>
              <w:rPr>
                <w:w w:val="105"/>
                <w:sz w:val="20"/>
                <w:szCs w:val="20"/>
              </w:rPr>
              <w:t>ESO - If someone presents with an eligibility status of ESO, please consult supervisor.</w:t>
            </w:r>
          </w:p>
        </w:tc>
        <w:tc>
          <w:tcPr>
            <w:tcW w:w="3380" w:type="dxa"/>
          </w:tcPr>
          <w:p w14:paraId="2525CB6E" w14:textId="18B4431E" w:rsidR="00282787" w:rsidRPr="006C460F" w:rsidRDefault="00A41DD4" w:rsidP="006C460F">
            <w:pPr>
              <w:rPr>
                <w:w w:val="110"/>
                <w:sz w:val="20"/>
                <w:szCs w:val="20"/>
              </w:rPr>
            </w:pPr>
            <w:r>
              <w:rPr>
                <w:w w:val="105"/>
                <w:sz w:val="20"/>
                <w:szCs w:val="20"/>
              </w:rPr>
              <w:t>ESO - If someone presents with an eligibility status of ESO, please consult supervisor.</w:t>
            </w:r>
          </w:p>
        </w:tc>
      </w:tr>
    </w:tbl>
    <w:p w14:paraId="27228989" w14:textId="0A31780C" w:rsidR="0015367F" w:rsidRDefault="0015367F" w:rsidP="00B66472">
      <w:pPr>
        <w:rPr>
          <w:b/>
          <w:bCs/>
          <w:u w:val="single"/>
        </w:rPr>
      </w:pPr>
    </w:p>
    <w:sectPr w:rsidR="0015367F" w:rsidSect="006D3F64">
      <w:pgSz w:w="15840" w:h="12240" w:orient="landscape"/>
      <w:pgMar w:top="288" w:right="720" w:bottom="720"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EB7"/>
    <w:rsid w:val="00013B60"/>
    <w:rsid w:val="000403D4"/>
    <w:rsid w:val="00146407"/>
    <w:rsid w:val="001531BE"/>
    <w:rsid w:val="0015367F"/>
    <w:rsid w:val="0016702A"/>
    <w:rsid w:val="0022648A"/>
    <w:rsid w:val="00282787"/>
    <w:rsid w:val="002F1ECC"/>
    <w:rsid w:val="00306CC3"/>
    <w:rsid w:val="003865F1"/>
    <w:rsid w:val="00460B80"/>
    <w:rsid w:val="00495697"/>
    <w:rsid w:val="004D5202"/>
    <w:rsid w:val="0052107B"/>
    <w:rsid w:val="006C460F"/>
    <w:rsid w:val="006D3F64"/>
    <w:rsid w:val="00704452"/>
    <w:rsid w:val="007632F4"/>
    <w:rsid w:val="007720CF"/>
    <w:rsid w:val="007D65C4"/>
    <w:rsid w:val="007E68E0"/>
    <w:rsid w:val="007F46FA"/>
    <w:rsid w:val="00855DA6"/>
    <w:rsid w:val="00861829"/>
    <w:rsid w:val="00875541"/>
    <w:rsid w:val="009517C2"/>
    <w:rsid w:val="00983870"/>
    <w:rsid w:val="00A41DD4"/>
    <w:rsid w:val="00AA1EB5"/>
    <w:rsid w:val="00B4229C"/>
    <w:rsid w:val="00B66472"/>
    <w:rsid w:val="00BD64A7"/>
    <w:rsid w:val="00C63AED"/>
    <w:rsid w:val="00CA4EB7"/>
    <w:rsid w:val="00D309D2"/>
    <w:rsid w:val="00E325BB"/>
    <w:rsid w:val="00E46C5F"/>
    <w:rsid w:val="00EA58C4"/>
    <w:rsid w:val="00EC7BC7"/>
    <w:rsid w:val="00ED01DA"/>
    <w:rsid w:val="00F45D71"/>
    <w:rsid w:val="00F6470D"/>
    <w:rsid w:val="00FB7B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185BD"/>
  <w15:chartTrackingRefBased/>
  <w15:docId w15:val="{AD43A50B-790F-4AA1-8C60-401DF9ED2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A4EB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A4EB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A4EB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A4EB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A4EB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A4EB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A4EB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A4EB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A4EB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4EB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A4EB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A4EB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A4EB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A4EB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A4EB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A4EB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A4EB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A4EB7"/>
    <w:rPr>
      <w:rFonts w:eastAsiaTheme="majorEastAsia" w:cstheme="majorBidi"/>
      <w:color w:val="272727" w:themeColor="text1" w:themeTint="D8"/>
    </w:rPr>
  </w:style>
  <w:style w:type="paragraph" w:styleId="Title">
    <w:name w:val="Title"/>
    <w:basedOn w:val="Normal"/>
    <w:next w:val="Normal"/>
    <w:link w:val="TitleChar"/>
    <w:uiPriority w:val="10"/>
    <w:qFormat/>
    <w:rsid w:val="00CA4E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A4EB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A4EB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A4EB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A4EB7"/>
    <w:pPr>
      <w:spacing w:before="160"/>
      <w:jc w:val="center"/>
    </w:pPr>
    <w:rPr>
      <w:i/>
      <w:iCs/>
      <w:color w:val="404040" w:themeColor="text1" w:themeTint="BF"/>
    </w:rPr>
  </w:style>
  <w:style w:type="character" w:customStyle="1" w:styleId="QuoteChar">
    <w:name w:val="Quote Char"/>
    <w:basedOn w:val="DefaultParagraphFont"/>
    <w:link w:val="Quote"/>
    <w:uiPriority w:val="29"/>
    <w:rsid w:val="00CA4EB7"/>
    <w:rPr>
      <w:i/>
      <w:iCs/>
      <w:color w:val="404040" w:themeColor="text1" w:themeTint="BF"/>
    </w:rPr>
  </w:style>
  <w:style w:type="paragraph" w:styleId="ListParagraph">
    <w:name w:val="List Paragraph"/>
    <w:basedOn w:val="Normal"/>
    <w:uiPriority w:val="34"/>
    <w:qFormat/>
    <w:rsid w:val="00CA4EB7"/>
    <w:pPr>
      <w:ind w:left="720"/>
      <w:contextualSpacing/>
    </w:pPr>
  </w:style>
  <w:style w:type="character" w:styleId="IntenseEmphasis">
    <w:name w:val="Intense Emphasis"/>
    <w:basedOn w:val="DefaultParagraphFont"/>
    <w:uiPriority w:val="21"/>
    <w:qFormat/>
    <w:rsid w:val="00CA4EB7"/>
    <w:rPr>
      <w:i/>
      <w:iCs/>
      <w:color w:val="0F4761" w:themeColor="accent1" w:themeShade="BF"/>
    </w:rPr>
  </w:style>
  <w:style w:type="paragraph" w:styleId="IntenseQuote">
    <w:name w:val="Intense Quote"/>
    <w:basedOn w:val="Normal"/>
    <w:next w:val="Normal"/>
    <w:link w:val="IntenseQuoteChar"/>
    <w:uiPriority w:val="30"/>
    <w:qFormat/>
    <w:rsid w:val="00CA4E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A4EB7"/>
    <w:rPr>
      <w:i/>
      <w:iCs/>
      <w:color w:val="0F4761" w:themeColor="accent1" w:themeShade="BF"/>
    </w:rPr>
  </w:style>
  <w:style w:type="character" w:styleId="IntenseReference">
    <w:name w:val="Intense Reference"/>
    <w:basedOn w:val="DefaultParagraphFont"/>
    <w:uiPriority w:val="32"/>
    <w:qFormat/>
    <w:rsid w:val="00CA4EB7"/>
    <w:rPr>
      <w:b/>
      <w:bCs/>
      <w:smallCaps/>
      <w:color w:val="0F4761" w:themeColor="accent1" w:themeShade="BF"/>
      <w:spacing w:val="5"/>
    </w:rPr>
  </w:style>
  <w:style w:type="table" w:styleId="TableGrid">
    <w:name w:val="Table Grid"/>
    <w:basedOn w:val="TableNormal"/>
    <w:uiPriority w:val="39"/>
    <w:rsid w:val="00CA4E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306CC3"/>
    <w:pPr>
      <w:widowControl w:val="0"/>
      <w:autoSpaceDE w:val="0"/>
      <w:autoSpaceDN w:val="0"/>
      <w:spacing w:after="0" w:line="240" w:lineRule="auto"/>
    </w:pPr>
    <w:rPr>
      <w:rFonts w:ascii="Arial" w:eastAsia="Arial" w:hAnsi="Arial" w:cs="Arial"/>
      <w:kern w:val="0"/>
      <w:sz w:val="22"/>
      <w:szCs w:val="22"/>
      <w14:ligatures w14:val="none"/>
    </w:rPr>
  </w:style>
  <w:style w:type="character" w:styleId="Hyperlink">
    <w:name w:val="Hyperlink"/>
    <w:basedOn w:val="DefaultParagraphFont"/>
    <w:uiPriority w:val="99"/>
    <w:unhideWhenUsed/>
    <w:rsid w:val="00875541"/>
    <w:rPr>
      <w:color w:val="467886" w:themeColor="hyperlink"/>
      <w:u w:val="single"/>
    </w:rPr>
  </w:style>
  <w:style w:type="character" w:styleId="UnresolvedMention">
    <w:name w:val="Unresolved Mention"/>
    <w:basedOn w:val="DefaultParagraphFont"/>
    <w:uiPriority w:val="99"/>
    <w:semiHidden/>
    <w:unhideWhenUsed/>
    <w:rsid w:val="007E68E0"/>
    <w:rPr>
      <w:color w:val="605E5C"/>
      <w:shd w:val="clear" w:color="auto" w:fill="E1DFDD"/>
    </w:rPr>
  </w:style>
  <w:style w:type="paragraph" w:styleId="Revision">
    <w:name w:val="Revision"/>
    <w:hidden/>
    <w:uiPriority w:val="99"/>
    <w:semiHidden/>
    <w:rsid w:val="0022648A"/>
    <w:pPr>
      <w:spacing w:after="0" w:line="240" w:lineRule="auto"/>
    </w:pPr>
  </w:style>
  <w:style w:type="character" w:styleId="SmartLink">
    <w:name w:val="Smart Link"/>
    <w:basedOn w:val="DefaultParagraphFont"/>
    <w:uiPriority w:val="99"/>
    <w:semiHidden/>
    <w:unhideWhenUsed/>
    <w:rsid w:val="00E46C5F"/>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9548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cmha.sharepoint.com/:b:/r/sites/MCMHA/Shared%20Documents/General/CCBHC%20Resources/CCBHC%20Access%20Decision%20Tree.pdf?csf=1&amp;web=1&amp;e=cejQEh"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NonMedicaid@MCMHA.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cmha.sharepoint.com/:b:/r/sites/MCMHA/Shared%20Documents/General/CCBHC%20Resources/CCBHC%20Eligible%20Diagnosis%20and%20CPT%20Codes.pdf?csf=1&amp;web=1&amp;e=YAIk66" TargetMode="External"/><Relationship Id="rId5" Type="http://schemas.openxmlformats.org/officeDocument/2006/relationships/styles" Target="styles.xml"/><Relationship Id="rId10" Type="http://schemas.openxmlformats.org/officeDocument/2006/relationships/image" Target="cid:image001.png@01DB5069.019D5D40"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CE4352E138738498E1ABB792EBAD3BB" ma:contentTypeVersion="4" ma:contentTypeDescription="Create a new document." ma:contentTypeScope="" ma:versionID="e8369a6c758ad696da958408bd46ee23">
  <xsd:schema xmlns:xsd="http://www.w3.org/2001/XMLSchema" xmlns:xs="http://www.w3.org/2001/XMLSchema" xmlns:p="http://schemas.microsoft.com/office/2006/metadata/properties" xmlns:ns2="4ba4fdf2-f128-44cf-8ab3-d31459aaf983" targetNamespace="http://schemas.microsoft.com/office/2006/metadata/properties" ma:root="true" ma:fieldsID="e5fa0eb2a494213e0e6c9b3a451759df" ns2:_="">
    <xsd:import namespace="4ba4fdf2-f128-44cf-8ab3-d31459aaf98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4fdf2-f128-44cf-8ab3-d31459aaf9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31848A-9B62-4AAE-B506-306F7E73D12A}">
  <ds:schemaRefs>
    <ds:schemaRef ds:uri="http://schemas.microsoft.com/sharepoint/v3/contenttype/forms"/>
  </ds:schemaRefs>
</ds:datastoreItem>
</file>

<file path=customXml/itemProps2.xml><?xml version="1.0" encoding="utf-8"?>
<ds:datastoreItem xmlns:ds="http://schemas.openxmlformats.org/officeDocument/2006/customXml" ds:itemID="{871D775E-6B8B-4620-B41C-E6BB1CB782C6}"/>
</file>

<file path=customXml/itemProps3.xml><?xml version="1.0" encoding="utf-8"?>
<ds:datastoreItem xmlns:ds="http://schemas.openxmlformats.org/officeDocument/2006/customXml" ds:itemID="{BC8B78DA-AFAF-4515-B508-9BB19BADB59C}">
  <ds:schemaRefs>
    <ds:schemaRef ds:uri="http://schemas.openxmlformats.org/officeDocument/2006/bibliography"/>
  </ds:schemaRefs>
</ds:datastoreItem>
</file>

<file path=customXml/itemProps4.xml><?xml version="1.0" encoding="utf-8"?>
<ds:datastoreItem xmlns:ds="http://schemas.openxmlformats.org/officeDocument/2006/customXml" ds:itemID="{DB78985D-4183-4DBC-B128-15E85383A43E}">
  <ds:schemaRefs>
    <ds:schemaRef ds:uri="fc114c86-0da5-4d59-afad-d0ed7126675c"/>
    <ds:schemaRef ds:uri="http://purl.org/dc/elements/1.1/"/>
    <ds:schemaRef ds:uri="http://www.w3.org/XML/1998/namespace"/>
    <ds:schemaRef ds:uri="http://purl.org/dc/terms/"/>
    <ds:schemaRef ds:uri="http://schemas.microsoft.com/office/2006/metadata/properties"/>
    <ds:schemaRef ds:uri="http://purl.org/dc/dcmitype/"/>
    <ds:schemaRef ds:uri="http://schemas.microsoft.com/office/2006/documentManagement/types"/>
    <ds:schemaRef ds:uri="http://schemas.openxmlformats.org/package/2006/metadata/core-properties"/>
    <ds:schemaRef ds:uri="http://schemas.microsoft.com/office/infopath/2007/PartnerControls"/>
    <ds:schemaRef ds:uri="39446e86-f1fa-4c6c-8d6e-25b4cf990c67"/>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805</Words>
  <Characters>4593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Perry</dc:creator>
  <cp:keywords/>
  <dc:description/>
  <cp:lastModifiedBy>Ken Melvin</cp:lastModifiedBy>
  <cp:revision>2</cp:revision>
  <cp:lastPrinted>2024-04-18T18:18:00Z</cp:lastPrinted>
  <dcterms:created xsi:type="dcterms:W3CDTF">2025-01-16T14:19:00Z</dcterms:created>
  <dcterms:modified xsi:type="dcterms:W3CDTF">2025-01-16T14:19:00Z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0x0101005CE4352E138738498E1ABB792EBAD3BB</vt:lpwstr>
  </property>
  <property fmtid="{D5CDD505-2E9C-101B-9397-08002B2CF9AE}" pid="3" name="MediaServiceImageTags">
    <vt:lpwstr/>
  </property>
</Properties>
</file>